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2" w:rsidRPr="00120689" w:rsidRDefault="001164A2" w:rsidP="00F213F6">
      <w:pPr>
        <w:jc w:val="center"/>
        <w:rPr>
          <w:b/>
          <w:sz w:val="32"/>
          <w:szCs w:val="32"/>
        </w:rPr>
      </w:pPr>
      <w:r w:rsidRPr="00120689">
        <w:rPr>
          <w:b/>
          <w:sz w:val="32"/>
          <w:szCs w:val="32"/>
        </w:rPr>
        <w:t>ЗАКЛЮЧЕНИЕ</w:t>
      </w:r>
    </w:p>
    <w:p w:rsidR="003F3B05" w:rsidRPr="001164A2" w:rsidRDefault="00DD7D00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>Контрольно-с</w:t>
      </w:r>
      <w:r w:rsidR="00285805" w:rsidRPr="001164A2">
        <w:rPr>
          <w:b/>
          <w:sz w:val="28"/>
          <w:szCs w:val="28"/>
        </w:rPr>
        <w:t>четной палаты</w:t>
      </w:r>
      <w:r w:rsidR="003F3B05" w:rsidRPr="001164A2">
        <w:rPr>
          <w:b/>
          <w:sz w:val="28"/>
          <w:szCs w:val="28"/>
        </w:rPr>
        <w:t xml:space="preserve"> </w:t>
      </w:r>
    </w:p>
    <w:p w:rsidR="00563F46" w:rsidRPr="001164A2" w:rsidRDefault="00285805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 Альметьевского</w:t>
      </w:r>
      <w:r w:rsidR="00563F46" w:rsidRPr="001164A2">
        <w:rPr>
          <w:b/>
          <w:sz w:val="28"/>
          <w:szCs w:val="28"/>
        </w:rPr>
        <w:t xml:space="preserve"> </w:t>
      </w:r>
      <w:r w:rsidRPr="001164A2">
        <w:rPr>
          <w:b/>
          <w:sz w:val="28"/>
          <w:szCs w:val="28"/>
        </w:rPr>
        <w:t xml:space="preserve"> муниципального района</w:t>
      </w:r>
    </w:p>
    <w:p w:rsidR="00563F46" w:rsidRPr="001164A2" w:rsidRDefault="00B471F4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на годовой </w:t>
      </w:r>
      <w:r w:rsidR="00FD4003">
        <w:rPr>
          <w:b/>
          <w:sz w:val="28"/>
          <w:szCs w:val="28"/>
        </w:rPr>
        <w:t>О</w:t>
      </w:r>
      <w:r w:rsidRPr="001164A2">
        <w:rPr>
          <w:b/>
          <w:sz w:val="28"/>
          <w:szCs w:val="28"/>
        </w:rPr>
        <w:t>тчет об исполнении бюджета</w:t>
      </w:r>
    </w:p>
    <w:p w:rsidR="00285805" w:rsidRDefault="00285805" w:rsidP="00F213F6">
      <w:pPr>
        <w:jc w:val="center"/>
        <w:rPr>
          <w:b/>
          <w:sz w:val="28"/>
          <w:szCs w:val="28"/>
        </w:rPr>
      </w:pPr>
      <w:r w:rsidRPr="001164A2">
        <w:rPr>
          <w:b/>
          <w:sz w:val="28"/>
          <w:szCs w:val="28"/>
        </w:rPr>
        <w:t xml:space="preserve">Альметьевского  муниципального  района  </w:t>
      </w:r>
      <w:r w:rsidR="003F3B05" w:rsidRPr="001164A2">
        <w:rPr>
          <w:b/>
          <w:sz w:val="28"/>
          <w:szCs w:val="28"/>
        </w:rPr>
        <w:t>за</w:t>
      </w:r>
      <w:r w:rsidRPr="001164A2">
        <w:rPr>
          <w:b/>
          <w:sz w:val="28"/>
          <w:szCs w:val="28"/>
        </w:rPr>
        <w:t xml:space="preserve"> 20</w:t>
      </w:r>
      <w:r w:rsidR="00B43906" w:rsidRPr="001164A2">
        <w:rPr>
          <w:b/>
          <w:sz w:val="28"/>
          <w:szCs w:val="28"/>
        </w:rPr>
        <w:t>1</w:t>
      </w:r>
      <w:r w:rsidR="007E5205">
        <w:rPr>
          <w:b/>
          <w:sz w:val="28"/>
          <w:szCs w:val="28"/>
        </w:rPr>
        <w:t>6</w:t>
      </w:r>
      <w:r w:rsidRPr="001164A2">
        <w:rPr>
          <w:b/>
          <w:sz w:val="28"/>
          <w:szCs w:val="28"/>
        </w:rPr>
        <w:t xml:space="preserve"> год</w:t>
      </w:r>
    </w:p>
    <w:p w:rsidR="00F213F6" w:rsidRPr="001164A2" w:rsidRDefault="00F213F6" w:rsidP="00F213F6">
      <w:pPr>
        <w:jc w:val="center"/>
        <w:rPr>
          <w:b/>
          <w:sz w:val="28"/>
          <w:szCs w:val="28"/>
        </w:rPr>
      </w:pPr>
    </w:p>
    <w:p w:rsidR="00B471F4" w:rsidRPr="0066620E" w:rsidRDefault="00B471F4" w:rsidP="000D1107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66620E">
        <w:rPr>
          <w:sz w:val="28"/>
          <w:szCs w:val="28"/>
        </w:rPr>
        <w:t xml:space="preserve">Заключение Контрольно-счетной палаты Альметьевского муниципального района </w:t>
      </w:r>
      <w:r>
        <w:rPr>
          <w:sz w:val="28"/>
          <w:szCs w:val="28"/>
        </w:rPr>
        <w:t>на Отчет</w:t>
      </w:r>
      <w:r w:rsidRPr="0066620E">
        <w:rPr>
          <w:sz w:val="28"/>
          <w:szCs w:val="28"/>
        </w:rPr>
        <w:t xml:space="preserve"> по исполнению бюджета Альметьевского муниципального района за 20</w:t>
      </w:r>
      <w:r w:rsidR="00B43906">
        <w:rPr>
          <w:sz w:val="28"/>
          <w:szCs w:val="28"/>
        </w:rPr>
        <w:t>1</w:t>
      </w:r>
      <w:r w:rsidR="007E5205">
        <w:rPr>
          <w:sz w:val="28"/>
          <w:szCs w:val="28"/>
        </w:rPr>
        <w:t>6</w:t>
      </w:r>
      <w:r w:rsidRPr="0066620E">
        <w:rPr>
          <w:sz w:val="28"/>
          <w:szCs w:val="28"/>
        </w:rPr>
        <w:t xml:space="preserve"> год подготовлено в соответствии со статьей 264.4 Бюджетного кодекса Российской Федерации, статьей 97.3 Бюджетного кодекса Республики Татарстан</w:t>
      </w:r>
      <w:r w:rsidR="00FA5E4E">
        <w:rPr>
          <w:sz w:val="28"/>
          <w:szCs w:val="28"/>
        </w:rPr>
        <w:t>, статьей</w:t>
      </w:r>
      <w:r w:rsidR="00477A3B">
        <w:rPr>
          <w:sz w:val="28"/>
          <w:szCs w:val="28"/>
        </w:rPr>
        <w:t xml:space="preserve"> 47 Положения о бюджетном процессе в Альметьевском муниципальном районе Республики Татарстан, пунктом 1.3 статьи 8 Положения о Контрольно-счетной палате Альметьевского муниципального района Республики Татарстан</w:t>
      </w:r>
      <w:r w:rsidRPr="0066620E">
        <w:rPr>
          <w:sz w:val="28"/>
          <w:szCs w:val="28"/>
        </w:rPr>
        <w:t>.</w:t>
      </w:r>
      <w:proofErr w:type="gramEnd"/>
    </w:p>
    <w:p w:rsidR="00B471F4" w:rsidRPr="0066620E" w:rsidRDefault="00B471F4" w:rsidP="000D1107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Цел</w:t>
      </w:r>
      <w:r>
        <w:rPr>
          <w:sz w:val="28"/>
          <w:szCs w:val="28"/>
        </w:rPr>
        <w:t>ями проведения</w:t>
      </w:r>
      <w:r w:rsidRPr="0066620E">
        <w:rPr>
          <w:sz w:val="28"/>
          <w:szCs w:val="28"/>
        </w:rPr>
        <w:t xml:space="preserve"> внешней проверки отчета по исполнению бюджета Альметьевского муниципального района за 20</w:t>
      </w:r>
      <w:r w:rsidR="00B43906">
        <w:rPr>
          <w:sz w:val="28"/>
          <w:szCs w:val="28"/>
        </w:rPr>
        <w:t>1</w:t>
      </w:r>
      <w:r w:rsidR="007E5205">
        <w:rPr>
          <w:sz w:val="28"/>
          <w:szCs w:val="28"/>
        </w:rPr>
        <w:t>6</w:t>
      </w:r>
      <w:r w:rsidRPr="0066620E">
        <w:rPr>
          <w:sz w:val="28"/>
          <w:szCs w:val="28"/>
        </w:rPr>
        <w:t xml:space="preserve"> год являются:</w:t>
      </w:r>
    </w:p>
    <w:p w:rsidR="00B471F4" w:rsidRPr="0066620E" w:rsidRDefault="00B471F4" w:rsidP="000D1107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>-  подтверждение полноты и достоверности данных об исполнении бюджета</w:t>
      </w:r>
      <w:r>
        <w:rPr>
          <w:sz w:val="28"/>
          <w:szCs w:val="28"/>
        </w:rPr>
        <w:t xml:space="preserve"> Альметьевского муниципального</w:t>
      </w:r>
      <w:r w:rsidRPr="0066620E">
        <w:rPr>
          <w:sz w:val="28"/>
          <w:szCs w:val="28"/>
        </w:rPr>
        <w:t xml:space="preserve"> района;</w:t>
      </w:r>
    </w:p>
    <w:p w:rsidR="00B471F4" w:rsidRDefault="00B471F4" w:rsidP="000D1107">
      <w:pPr>
        <w:spacing w:line="276" w:lineRule="auto"/>
        <w:ind w:firstLine="539"/>
        <w:jc w:val="both"/>
        <w:rPr>
          <w:sz w:val="28"/>
          <w:szCs w:val="28"/>
        </w:rPr>
      </w:pPr>
      <w:r w:rsidRPr="0066620E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r>
        <w:rPr>
          <w:sz w:val="28"/>
          <w:szCs w:val="28"/>
        </w:rPr>
        <w:t>в Альметьевском муниципальном районе;</w:t>
      </w:r>
    </w:p>
    <w:p w:rsidR="00B471F4" w:rsidRDefault="00B471F4" w:rsidP="000D1107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уровня исполнения показателей, утвержденных Решением Совета Альметьевского муниципального района от </w:t>
      </w:r>
      <w:r w:rsidR="00984C66">
        <w:rPr>
          <w:sz w:val="28"/>
          <w:szCs w:val="28"/>
        </w:rPr>
        <w:t>1</w:t>
      </w:r>
      <w:r w:rsidR="007E5205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="00695D96">
        <w:rPr>
          <w:sz w:val="28"/>
          <w:szCs w:val="28"/>
        </w:rPr>
        <w:t>1</w:t>
      </w:r>
      <w:r w:rsidR="007E5205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7E5205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</w:t>
      </w:r>
      <w:r w:rsidR="00C11853">
        <w:rPr>
          <w:sz w:val="28"/>
          <w:szCs w:val="28"/>
        </w:rPr>
        <w:t>Альметьевского муниципального района на 20</w:t>
      </w:r>
      <w:r w:rsidR="00602288">
        <w:rPr>
          <w:sz w:val="28"/>
          <w:szCs w:val="28"/>
        </w:rPr>
        <w:t>1</w:t>
      </w:r>
      <w:r w:rsidR="007E5205">
        <w:rPr>
          <w:sz w:val="28"/>
          <w:szCs w:val="28"/>
        </w:rPr>
        <w:t>6</w:t>
      </w:r>
      <w:r w:rsidR="00B0360A">
        <w:rPr>
          <w:sz w:val="28"/>
          <w:szCs w:val="28"/>
        </w:rPr>
        <w:t xml:space="preserve"> </w:t>
      </w:r>
      <w:r w:rsidR="00C11853">
        <w:rPr>
          <w:sz w:val="28"/>
          <w:szCs w:val="28"/>
        </w:rPr>
        <w:t>год».</w:t>
      </w:r>
    </w:p>
    <w:p w:rsidR="00E40112" w:rsidRPr="00C657ED" w:rsidRDefault="00E40112" w:rsidP="000D110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657ED">
        <w:rPr>
          <w:sz w:val="28"/>
          <w:szCs w:val="28"/>
        </w:rPr>
        <w:t>Отчет об исполнении бюджета Альметьевского муниципального района за 2016 год представлен в форме проекта решения Совета Альметьевского муниципального района «Отчет об исполнении бюджета Альметьевского муниципального района Республики Татарстан за 2016 год». Одновременно с отчетом об исполнении бюджета района в соответствии с</w:t>
      </w:r>
      <w:r w:rsidR="00996BCC">
        <w:rPr>
          <w:sz w:val="28"/>
          <w:szCs w:val="28"/>
        </w:rPr>
        <w:t>о</w:t>
      </w:r>
      <w:r w:rsidRPr="00C657ED">
        <w:rPr>
          <w:sz w:val="28"/>
          <w:szCs w:val="28"/>
        </w:rPr>
        <w:t xml:space="preserve"> </w:t>
      </w:r>
      <w:r w:rsidR="00C657ED" w:rsidRPr="00C657ED">
        <w:rPr>
          <w:sz w:val="28"/>
          <w:szCs w:val="28"/>
        </w:rPr>
        <w:t>ст.45 Положения о</w:t>
      </w:r>
      <w:r w:rsidRPr="00C657ED">
        <w:rPr>
          <w:sz w:val="28"/>
          <w:szCs w:val="28"/>
        </w:rPr>
        <w:t xml:space="preserve"> бюджетном процессе в Альметьевском муниципальном районе</w:t>
      </w:r>
      <w:r w:rsidR="00C657ED" w:rsidRPr="00C657ED">
        <w:rPr>
          <w:sz w:val="28"/>
          <w:szCs w:val="28"/>
        </w:rPr>
        <w:t xml:space="preserve"> </w:t>
      </w:r>
      <w:r w:rsidRPr="00C657ED">
        <w:rPr>
          <w:sz w:val="28"/>
          <w:szCs w:val="28"/>
        </w:rPr>
        <w:t xml:space="preserve"> представлены следующие документы и материалы:</w:t>
      </w:r>
    </w:p>
    <w:p w:rsidR="00C657ED" w:rsidRPr="00C657ED" w:rsidRDefault="00C657ED" w:rsidP="000D1107">
      <w:pPr>
        <w:pStyle w:val="ConsPlusNormal"/>
        <w:spacing w:line="276" w:lineRule="auto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7E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отчет об исполнении бюджета района;</w:t>
      </w:r>
    </w:p>
    <w:p w:rsidR="00C657ED" w:rsidRPr="00C657ED" w:rsidRDefault="00C657ED" w:rsidP="000D1107">
      <w:pPr>
        <w:pStyle w:val="ConsPlusNormal"/>
        <w:spacing w:line="276" w:lineRule="auto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7ED">
        <w:rPr>
          <w:rFonts w:ascii="Times New Roman" w:eastAsiaTheme="minorHAnsi" w:hAnsi="Times New Roman" w:cs="Times New Roman"/>
          <w:sz w:val="28"/>
          <w:szCs w:val="28"/>
          <w:lang w:eastAsia="en-US"/>
        </w:rPr>
        <w:t>-  баланс исполнения бюджета района;</w:t>
      </w:r>
    </w:p>
    <w:p w:rsidR="00C657ED" w:rsidRPr="00C657ED" w:rsidRDefault="00C657ED" w:rsidP="000D1107">
      <w:pPr>
        <w:pStyle w:val="ConsPlusNormal"/>
        <w:spacing w:line="276" w:lineRule="auto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7E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отчет о финансовых результатах деятельности;</w:t>
      </w:r>
    </w:p>
    <w:p w:rsidR="00C657ED" w:rsidRPr="00C657ED" w:rsidRDefault="00C657ED" w:rsidP="000D1107">
      <w:pPr>
        <w:pStyle w:val="ConsPlusNormal"/>
        <w:spacing w:line="276" w:lineRule="auto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7E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отчет о движении денежных средств;</w:t>
      </w:r>
    </w:p>
    <w:p w:rsidR="00C657ED" w:rsidRPr="00C657ED" w:rsidRDefault="00C657ED" w:rsidP="000D1107">
      <w:pPr>
        <w:pStyle w:val="ConsPlusNormal"/>
        <w:spacing w:line="276" w:lineRule="auto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7E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пояснительная записка.</w:t>
      </w:r>
    </w:p>
    <w:p w:rsidR="00E40112" w:rsidRPr="00FE7EC1" w:rsidRDefault="00E40112" w:rsidP="000D1107">
      <w:pPr>
        <w:spacing w:line="276" w:lineRule="auto"/>
        <w:ind w:firstLine="709"/>
        <w:jc w:val="both"/>
        <w:rPr>
          <w:sz w:val="30"/>
          <w:szCs w:val="30"/>
        </w:rPr>
      </w:pPr>
      <w:r w:rsidRPr="00FE7EC1">
        <w:rPr>
          <w:sz w:val="30"/>
          <w:szCs w:val="30"/>
        </w:rPr>
        <w:t>Проанализированы следующие нормативные документы:</w:t>
      </w:r>
    </w:p>
    <w:p w:rsidR="00E40112" w:rsidRPr="00C657ED" w:rsidRDefault="00E40112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657ED" w:rsidRPr="00C657ED">
        <w:rPr>
          <w:rFonts w:ascii="Times New Roman" w:hAnsi="Times New Roman" w:cs="Times New Roman"/>
          <w:sz w:val="28"/>
          <w:szCs w:val="28"/>
        </w:rPr>
        <w:t xml:space="preserve">Совета Альметьевского муниципального района </w:t>
      </w:r>
      <w:r w:rsidRPr="00C657ED">
        <w:rPr>
          <w:rFonts w:ascii="Times New Roman" w:hAnsi="Times New Roman" w:cs="Times New Roman"/>
          <w:sz w:val="28"/>
          <w:szCs w:val="28"/>
        </w:rPr>
        <w:t>от 1</w:t>
      </w:r>
      <w:r w:rsidR="00C657ED" w:rsidRPr="00C657ED">
        <w:rPr>
          <w:rFonts w:ascii="Times New Roman" w:hAnsi="Times New Roman" w:cs="Times New Roman"/>
          <w:sz w:val="28"/>
          <w:szCs w:val="28"/>
        </w:rPr>
        <w:t>0</w:t>
      </w:r>
      <w:r w:rsidRPr="00C657ED">
        <w:rPr>
          <w:rFonts w:ascii="Times New Roman" w:hAnsi="Times New Roman" w:cs="Times New Roman"/>
          <w:sz w:val="28"/>
          <w:szCs w:val="28"/>
        </w:rPr>
        <w:t>.12.2015 №</w:t>
      </w:r>
      <w:r w:rsidR="00C657ED" w:rsidRPr="00C657ED">
        <w:rPr>
          <w:rFonts w:ascii="Times New Roman" w:hAnsi="Times New Roman" w:cs="Times New Roman"/>
          <w:sz w:val="28"/>
          <w:szCs w:val="28"/>
        </w:rPr>
        <w:t xml:space="preserve"> 24</w:t>
      </w:r>
      <w:r w:rsidRPr="00C657E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657ED" w:rsidRPr="00C657ED">
        <w:rPr>
          <w:rFonts w:ascii="Times New Roman" w:hAnsi="Times New Roman" w:cs="Times New Roman"/>
          <w:sz w:val="28"/>
          <w:szCs w:val="28"/>
        </w:rPr>
        <w:t xml:space="preserve">Альметьевского </w:t>
      </w:r>
      <w:r w:rsidRPr="00C65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57ED" w:rsidRPr="00C657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57ED">
        <w:rPr>
          <w:rFonts w:ascii="Times New Roman" w:hAnsi="Times New Roman" w:cs="Times New Roman"/>
          <w:sz w:val="28"/>
          <w:szCs w:val="28"/>
        </w:rPr>
        <w:t>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 xml:space="preserve">Решение Совета Альметьевского муниципального района от 29.04.2016 № 50 «О внесении изменений в Решение Совета Альметьевского </w:t>
      </w:r>
      <w:r w:rsidRPr="00C657E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10.12.2015 № 24  «О бюджете Альметьевского муниципального района 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26.05.2016 № 74 «О внесении изменений в Решение Совета Альметьевского муниципального района от 10.12.2015 № 24  «О бюджете Альметьевского муниципального района 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10.08.2016 № 79 «О внесении изменений в Решение Совета Альметьевского муниципального района от 10.12.2015 № 24  «О бюджете Альметьевского муниципального района 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06.10.2016 № 89 «О внесении изменений в Решение Совета Альметьевского муниципального района от 10.12.2015 № 24  «О бюджете Альметьевского муниципального района 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08.11.2016 № 131 «О внесении изменений в Решение Совета Альметьевского муниципального района от 10.12.2015 № 24  «О бюджете Альметьевского муниципального района на 2016 год»;</w:t>
      </w:r>
    </w:p>
    <w:p w:rsidR="00C657ED" w:rsidRPr="00C657ED" w:rsidRDefault="00C657ED" w:rsidP="000D1107">
      <w:pPr>
        <w:pStyle w:val="ac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ED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30.11.2016 № 138 «О внесении изменений в Решение Совета Альметьевского муниципального района от 10.12.2015 № 24  «О бюджете Альметьевского муниципального района на 2016 год»;</w:t>
      </w:r>
    </w:p>
    <w:p w:rsidR="00B601B1" w:rsidRPr="000D1107" w:rsidRDefault="00C657ED" w:rsidP="000D1107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0D1107">
        <w:rPr>
          <w:rFonts w:ascii="Times New Roman" w:hAnsi="Times New Roman" w:cs="Times New Roman"/>
          <w:sz w:val="28"/>
          <w:szCs w:val="28"/>
        </w:rPr>
        <w:t>Решение Совета Альметьевского муниципального района от 28.12.2016 № 143 «О внесении изменений в Решение Совета Альметьевского муниципального района от 10.12.2015 № 24  «О бюджете Альметьевского муниципального района на 2016 год».</w:t>
      </w:r>
      <w:r w:rsidR="00B601B1" w:rsidRPr="000D1107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A7004E" w:rsidRDefault="00A7004E" w:rsidP="000D110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Pr="00A7004E">
        <w:rPr>
          <w:sz w:val="28"/>
          <w:szCs w:val="28"/>
        </w:rPr>
        <w:t>В результате проведенного контрольного мероприятия установлено, что Отчет об исполнении бюджета за 201</w:t>
      </w:r>
      <w:r w:rsidR="007E5205">
        <w:rPr>
          <w:sz w:val="28"/>
          <w:szCs w:val="28"/>
        </w:rPr>
        <w:t>6</w:t>
      </w:r>
      <w:r w:rsidRPr="00A7004E">
        <w:rPr>
          <w:sz w:val="28"/>
          <w:szCs w:val="28"/>
        </w:rPr>
        <w:t xml:space="preserve"> год составлен с учетом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(далее – Инструкция 191н) и сформирован по кодам бюджетной классификации, принятым на 201</w:t>
      </w:r>
      <w:r w:rsidR="007E5205">
        <w:rPr>
          <w:sz w:val="28"/>
          <w:szCs w:val="28"/>
        </w:rPr>
        <w:t>6</w:t>
      </w:r>
      <w:r w:rsidRPr="00A7004E">
        <w:rPr>
          <w:sz w:val="28"/>
          <w:szCs w:val="28"/>
        </w:rPr>
        <w:t xml:space="preserve"> год. </w:t>
      </w:r>
      <w:proofErr w:type="gramEnd"/>
    </w:p>
    <w:p w:rsidR="00D1753D" w:rsidRPr="00D1753D" w:rsidRDefault="00D1753D" w:rsidP="00D1753D">
      <w:pPr>
        <w:pStyle w:val="a8"/>
        <w:spacing w:after="0"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53D">
        <w:rPr>
          <w:sz w:val="28"/>
          <w:szCs w:val="28"/>
        </w:rPr>
        <w:t>Полнота и достоверность представленной бюджетной отчетности в целом соответствует требованиям действующего законодательства.</w:t>
      </w:r>
    </w:p>
    <w:p w:rsidR="00D1753D" w:rsidRPr="00D1753D" w:rsidRDefault="00D1753D" w:rsidP="00D1753D">
      <w:pPr>
        <w:pStyle w:val="a8"/>
        <w:spacing w:after="0"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53D">
        <w:rPr>
          <w:sz w:val="28"/>
          <w:szCs w:val="28"/>
        </w:rPr>
        <w:t xml:space="preserve">Показатели отчетности соответствуют показателям проекта решения </w:t>
      </w:r>
      <w:r>
        <w:rPr>
          <w:sz w:val="28"/>
          <w:szCs w:val="28"/>
        </w:rPr>
        <w:t xml:space="preserve">Совета Альметьевского муниципального района </w:t>
      </w:r>
      <w:r w:rsidRPr="00D1753D">
        <w:rPr>
          <w:sz w:val="28"/>
          <w:szCs w:val="28"/>
        </w:rPr>
        <w:t xml:space="preserve">«Отчет об исполнении бюджета </w:t>
      </w:r>
      <w:r>
        <w:rPr>
          <w:sz w:val="28"/>
          <w:szCs w:val="28"/>
        </w:rPr>
        <w:t xml:space="preserve">Альметьевского </w:t>
      </w:r>
      <w:r w:rsidRPr="00D175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Республики Татарстан</w:t>
      </w:r>
      <w:r w:rsidRPr="00D1753D">
        <w:rPr>
          <w:sz w:val="28"/>
          <w:szCs w:val="28"/>
        </w:rPr>
        <w:t xml:space="preserve"> за 2016 год».</w:t>
      </w:r>
    </w:p>
    <w:p w:rsidR="00B601B1" w:rsidRPr="001931AD" w:rsidRDefault="00B601B1" w:rsidP="000D1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</w:t>
      </w:r>
      <w:r w:rsidR="00BB1909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  </w:t>
      </w:r>
    </w:p>
    <w:p w:rsidR="00D1753D" w:rsidRDefault="00D1753D" w:rsidP="00D1753D">
      <w:pPr>
        <w:spacing w:line="312" w:lineRule="auto"/>
        <w:jc w:val="center"/>
        <w:rPr>
          <w:b/>
          <w:sz w:val="28"/>
          <w:szCs w:val="28"/>
        </w:rPr>
      </w:pPr>
      <w:r w:rsidRPr="00D1753D">
        <w:rPr>
          <w:b/>
          <w:sz w:val="28"/>
          <w:szCs w:val="28"/>
        </w:rPr>
        <w:t xml:space="preserve">Анализ исполнения бюджета Альметьевского муниципального района </w:t>
      </w:r>
    </w:p>
    <w:p w:rsidR="00D1753D" w:rsidRPr="00D1753D" w:rsidRDefault="00D1753D" w:rsidP="00D1753D">
      <w:pPr>
        <w:spacing w:line="312" w:lineRule="auto"/>
        <w:jc w:val="center"/>
        <w:rPr>
          <w:b/>
          <w:sz w:val="28"/>
          <w:szCs w:val="28"/>
        </w:rPr>
      </w:pPr>
      <w:r w:rsidRPr="00D1753D">
        <w:rPr>
          <w:b/>
          <w:sz w:val="28"/>
          <w:szCs w:val="28"/>
        </w:rPr>
        <w:lastRenderedPageBreak/>
        <w:t>в 2016 году</w:t>
      </w:r>
    </w:p>
    <w:p w:rsidR="00976FD4" w:rsidRPr="003245FB" w:rsidRDefault="00D1753D" w:rsidP="000D1107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3181B" w:rsidRPr="00B471F4">
        <w:rPr>
          <w:sz w:val="28"/>
          <w:szCs w:val="28"/>
        </w:rPr>
        <w:t>Бюджет Альметьевского муниципального района на 20</w:t>
      </w:r>
      <w:r w:rsidR="00B43906">
        <w:rPr>
          <w:sz w:val="28"/>
          <w:szCs w:val="28"/>
        </w:rPr>
        <w:t>1</w:t>
      </w:r>
      <w:r w:rsidR="007E5205">
        <w:rPr>
          <w:sz w:val="28"/>
          <w:szCs w:val="28"/>
        </w:rPr>
        <w:t>6</w:t>
      </w:r>
      <w:r w:rsidR="00A3181B" w:rsidRPr="00B471F4">
        <w:rPr>
          <w:sz w:val="28"/>
          <w:szCs w:val="28"/>
        </w:rPr>
        <w:t xml:space="preserve"> год</w:t>
      </w:r>
      <w:r w:rsidR="005D44A2">
        <w:rPr>
          <w:sz w:val="28"/>
          <w:szCs w:val="28"/>
        </w:rPr>
        <w:t xml:space="preserve"> </w:t>
      </w:r>
      <w:r w:rsidR="00A3181B" w:rsidRPr="00B471F4">
        <w:rPr>
          <w:sz w:val="28"/>
          <w:szCs w:val="28"/>
        </w:rPr>
        <w:t xml:space="preserve">утвержден решением Совета Альметьевского муниципального </w:t>
      </w:r>
      <w:r w:rsidR="00A3181B" w:rsidRPr="00192359">
        <w:rPr>
          <w:sz w:val="28"/>
          <w:szCs w:val="28"/>
        </w:rPr>
        <w:t xml:space="preserve">района от </w:t>
      </w:r>
      <w:r w:rsidR="00E90459">
        <w:rPr>
          <w:sz w:val="28"/>
          <w:szCs w:val="28"/>
        </w:rPr>
        <w:t>1</w:t>
      </w:r>
      <w:r w:rsidR="007E5205">
        <w:rPr>
          <w:sz w:val="28"/>
          <w:szCs w:val="28"/>
        </w:rPr>
        <w:t>0</w:t>
      </w:r>
      <w:r w:rsidR="00007401">
        <w:rPr>
          <w:sz w:val="28"/>
          <w:szCs w:val="28"/>
        </w:rPr>
        <w:t>.12.20</w:t>
      </w:r>
      <w:r w:rsidR="00EC1BFE">
        <w:rPr>
          <w:sz w:val="28"/>
          <w:szCs w:val="28"/>
        </w:rPr>
        <w:t>1</w:t>
      </w:r>
      <w:r w:rsidR="007E5205">
        <w:rPr>
          <w:sz w:val="28"/>
          <w:szCs w:val="28"/>
        </w:rPr>
        <w:t>5</w:t>
      </w:r>
      <w:r w:rsidR="00EC1BFE">
        <w:rPr>
          <w:sz w:val="28"/>
          <w:szCs w:val="28"/>
        </w:rPr>
        <w:t>г. №</w:t>
      </w:r>
      <w:r w:rsidR="00120267">
        <w:rPr>
          <w:sz w:val="28"/>
          <w:szCs w:val="28"/>
        </w:rPr>
        <w:t xml:space="preserve"> </w:t>
      </w:r>
      <w:r w:rsidR="007E5205">
        <w:rPr>
          <w:sz w:val="28"/>
          <w:szCs w:val="28"/>
        </w:rPr>
        <w:t>24</w:t>
      </w:r>
      <w:r w:rsidR="00E90459">
        <w:rPr>
          <w:sz w:val="28"/>
          <w:szCs w:val="28"/>
        </w:rPr>
        <w:t xml:space="preserve"> </w:t>
      </w:r>
      <w:r w:rsidR="00A3181B" w:rsidRPr="00B471F4">
        <w:rPr>
          <w:sz w:val="28"/>
          <w:szCs w:val="28"/>
        </w:rPr>
        <w:t xml:space="preserve"> </w:t>
      </w:r>
      <w:r w:rsidR="00A3181B" w:rsidRPr="00C77A4C">
        <w:rPr>
          <w:sz w:val="28"/>
          <w:szCs w:val="28"/>
        </w:rPr>
        <w:t xml:space="preserve">по доходам в сумме </w:t>
      </w:r>
      <w:r w:rsidR="00E72E41" w:rsidRPr="00C77A4C">
        <w:rPr>
          <w:sz w:val="28"/>
          <w:szCs w:val="28"/>
        </w:rPr>
        <w:t>3 351 003,6</w:t>
      </w:r>
      <w:r w:rsidR="00A3181B" w:rsidRPr="00C77A4C">
        <w:rPr>
          <w:sz w:val="28"/>
          <w:szCs w:val="28"/>
        </w:rPr>
        <w:t xml:space="preserve"> тыс. рублей, из них налоговые доходы составляют </w:t>
      </w:r>
      <w:r w:rsidR="0050310A" w:rsidRPr="00C77A4C">
        <w:rPr>
          <w:sz w:val="28"/>
          <w:szCs w:val="28"/>
        </w:rPr>
        <w:t>7</w:t>
      </w:r>
      <w:r w:rsidR="00E72E41" w:rsidRPr="00C77A4C">
        <w:rPr>
          <w:sz w:val="28"/>
          <w:szCs w:val="28"/>
        </w:rPr>
        <w:t>72 282,2</w:t>
      </w:r>
      <w:r w:rsidR="00A3181B" w:rsidRPr="00C77A4C">
        <w:rPr>
          <w:b/>
          <w:sz w:val="28"/>
          <w:szCs w:val="28"/>
        </w:rPr>
        <w:t xml:space="preserve"> </w:t>
      </w:r>
      <w:r w:rsidR="00A3181B" w:rsidRPr="00C77A4C">
        <w:rPr>
          <w:sz w:val="28"/>
          <w:szCs w:val="28"/>
        </w:rPr>
        <w:t>тыс. рублей,</w:t>
      </w:r>
      <w:r w:rsidR="003B5737" w:rsidRPr="00C77A4C">
        <w:rPr>
          <w:sz w:val="28"/>
          <w:szCs w:val="28"/>
        </w:rPr>
        <w:t xml:space="preserve"> </w:t>
      </w:r>
      <w:r w:rsidR="00A3181B" w:rsidRPr="00C77A4C">
        <w:rPr>
          <w:sz w:val="28"/>
          <w:szCs w:val="28"/>
        </w:rPr>
        <w:t xml:space="preserve">неналоговые доходы – </w:t>
      </w:r>
      <w:r w:rsidR="003245FB" w:rsidRPr="00C77A4C">
        <w:rPr>
          <w:sz w:val="28"/>
          <w:szCs w:val="28"/>
        </w:rPr>
        <w:t xml:space="preserve"> </w:t>
      </w:r>
      <w:r w:rsidR="00E72E41" w:rsidRPr="00C77A4C">
        <w:rPr>
          <w:sz w:val="28"/>
          <w:szCs w:val="28"/>
        </w:rPr>
        <w:t>76 867,1</w:t>
      </w:r>
      <w:r w:rsidR="00A3181B" w:rsidRPr="00C77A4C">
        <w:rPr>
          <w:sz w:val="28"/>
          <w:szCs w:val="28"/>
        </w:rPr>
        <w:t xml:space="preserve">  тыс. рублей, </w:t>
      </w:r>
      <w:r w:rsidR="003245FB" w:rsidRPr="00C77A4C">
        <w:rPr>
          <w:sz w:val="28"/>
          <w:szCs w:val="28"/>
        </w:rPr>
        <w:t xml:space="preserve"> </w:t>
      </w:r>
      <w:r w:rsidR="00A3181B" w:rsidRPr="00C77A4C">
        <w:rPr>
          <w:sz w:val="28"/>
          <w:szCs w:val="28"/>
        </w:rPr>
        <w:t xml:space="preserve">безвозмездные поступления от других бюджетов бюджетной системы РФ – </w:t>
      </w:r>
      <w:r w:rsidR="00E72E41" w:rsidRPr="00C77A4C">
        <w:rPr>
          <w:sz w:val="28"/>
          <w:szCs w:val="28"/>
        </w:rPr>
        <w:t>2</w:t>
      </w:r>
      <w:r w:rsidR="00C77A4C" w:rsidRPr="00C77A4C">
        <w:rPr>
          <w:sz w:val="28"/>
          <w:szCs w:val="28"/>
        </w:rPr>
        <w:t> </w:t>
      </w:r>
      <w:r w:rsidR="00E72E41" w:rsidRPr="00C77A4C">
        <w:rPr>
          <w:sz w:val="28"/>
          <w:szCs w:val="28"/>
        </w:rPr>
        <w:t>501</w:t>
      </w:r>
      <w:r w:rsidR="00C77A4C" w:rsidRPr="00C77A4C">
        <w:rPr>
          <w:sz w:val="28"/>
          <w:szCs w:val="28"/>
        </w:rPr>
        <w:t xml:space="preserve"> </w:t>
      </w:r>
      <w:r w:rsidR="00E72E41" w:rsidRPr="00C77A4C">
        <w:rPr>
          <w:sz w:val="28"/>
          <w:szCs w:val="28"/>
        </w:rPr>
        <w:t>854,3</w:t>
      </w:r>
      <w:r w:rsidR="00A3181B" w:rsidRPr="00C77A4C">
        <w:rPr>
          <w:sz w:val="28"/>
          <w:szCs w:val="28"/>
        </w:rPr>
        <w:t xml:space="preserve"> тыс. рублей, в том числе</w:t>
      </w:r>
      <w:r w:rsidR="00255189" w:rsidRPr="00C77A4C">
        <w:rPr>
          <w:sz w:val="28"/>
          <w:szCs w:val="28"/>
        </w:rPr>
        <w:t>:</w:t>
      </w:r>
      <w:r w:rsidR="00A3181B" w:rsidRPr="00C77A4C">
        <w:rPr>
          <w:sz w:val="28"/>
          <w:szCs w:val="28"/>
        </w:rPr>
        <w:t xml:space="preserve"> из бюджета РТ</w:t>
      </w:r>
      <w:proofErr w:type="gramEnd"/>
      <w:r w:rsidR="00A3181B" w:rsidRPr="00C77A4C">
        <w:rPr>
          <w:sz w:val="28"/>
          <w:szCs w:val="28"/>
        </w:rPr>
        <w:t xml:space="preserve"> – </w:t>
      </w:r>
      <w:r w:rsidR="003245FB" w:rsidRPr="00C77A4C">
        <w:rPr>
          <w:sz w:val="28"/>
          <w:szCs w:val="28"/>
        </w:rPr>
        <w:t xml:space="preserve"> </w:t>
      </w:r>
      <w:r w:rsidR="00C77A4C" w:rsidRPr="00C77A4C">
        <w:rPr>
          <w:sz w:val="28"/>
          <w:szCs w:val="28"/>
        </w:rPr>
        <w:t>1 511 667,4</w:t>
      </w:r>
      <w:r w:rsidR="00A3181B" w:rsidRPr="00C77A4C">
        <w:rPr>
          <w:sz w:val="28"/>
          <w:szCs w:val="28"/>
        </w:rPr>
        <w:t xml:space="preserve">  тыс. рублей, из бюджетов поселений – </w:t>
      </w:r>
      <w:r w:rsidR="00C77A4C" w:rsidRPr="00C77A4C">
        <w:rPr>
          <w:sz w:val="28"/>
          <w:szCs w:val="28"/>
        </w:rPr>
        <w:t>990 186,9</w:t>
      </w:r>
      <w:r w:rsidR="00A3181B" w:rsidRPr="00C77A4C">
        <w:rPr>
          <w:sz w:val="28"/>
          <w:szCs w:val="28"/>
        </w:rPr>
        <w:t xml:space="preserve"> тыс. рублей и по расходам в сумме </w:t>
      </w:r>
      <w:r w:rsidR="00E72E41" w:rsidRPr="00C77A4C">
        <w:rPr>
          <w:sz w:val="28"/>
          <w:szCs w:val="28"/>
        </w:rPr>
        <w:t>3 351 003,6</w:t>
      </w:r>
      <w:r w:rsidR="00A3181B" w:rsidRPr="00C77A4C">
        <w:rPr>
          <w:sz w:val="28"/>
          <w:szCs w:val="28"/>
        </w:rPr>
        <w:t xml:space="preserve"> тыс. рублей</w:t>
      </w:r>
      <w:r w:rsidR="0048498A" w:rsidRPr="00C77A4C">
        <w:rPr>
          <w:sz w:val="28"/>
          <w:szCs w:val="28"/>
        </w:rPr>
        <w:t xml:space="preserve">. </w:t>
      </w:r>
      <w:r w:rsidR="006E4842" w:rsidRPr="00C77A4C">
        <w:rPr>
          <w:sz w:val="28"/>
          <w:szCs w:val="28"/>
        </w:rPr>
        <w:t xml:space="preserve"> </w:t>
      </w:r>
    </w:p>
    <w:p w:rsidR="00E40112" w:rsidRPr="00E40112" w:rsidRDefault="00E40112" w:rsidP="000D110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В ходе исполнения бюджета Альметьевского муниципального района семь  раз вносились изменения в решение о бюджете на 2016 год.</w:t>
      </w:r>
    </w:p>
    <w:p w:rsidR="00E40112" w:rsidRPr="00E40112" w:rsidRDefault="00E40112" w:rsidP="000D1107">
      <w:pPr>
        <w:spacing w:line="276" w:lineRule="auto"/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Внесение изменений в решение о бюджете на 2016 год обусловлено необходимостью законодательного закрепления как дополнительных доходов бюджета Альметьевского муниципального района, так и средств, которые поступали от бюджетов других уровней в течение отчетного года.</w:t>
      </w:r>
    </w:p>
    <w:p w:rsidR="00E40112" w:rsidRPr="00E40112" w:rsidRDefault="00E40112" w:rsidP="000D1107">
      <w:pPr>
        <w:spacing w:line="276" w:lineRule="auto"/>
        <w:ind w:firstLine="720"/>
        <w:jc w:val="both"/>
        <w:rPr>
          <w:sz w:val="28"/>
          <w:szCs w:val="28"/>
        </w:rPr>
      </w:pPr>
      <w:r w:rsidRPr="00E40112">
        <w:rPr>
          <w:sz w:val="28"/>
          <w:szCs w:val="28"/>
        </w:rPr>
        <w:t>Анализ изменений решения о бюджете на 2016 год представлен в нижеследующей таблице.</w:t>
      </w:r>
    </w:p>
    <w:p w:rsidR="00E40112" w:rsidRPr="00477A3B" w:rsidRDefault="00E40112" w:rsidP="00E40112">
      <w:pPr>
        <w:spacing w:line="360" w:lineRule="auto"/>
        <w:ind w:right="-1" w:firstLine="1080"/>
        <w:jc w:val="right"/>
        <w:rPr>
          <w:sz w:val="28"/>
          <w:szCs w:val="28"/>
        </w:rPr>
      </w:pPr>
      <w:r w:rsidRPr="00A81038">
        <w:rPr>
          <w:i/>
        </w:rPr>
        <w:t xml:space="preserve"> </w:t>
      </w:r>
      <w:r w:rsidRPr="00477A3B">
        <w:rPr>
          <w:sz w:val="28"/>
          <w:szCs w:val="2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10"/>
        <w:gridCol w:w="1686"/>
        <w:gridCol w:w="1791"/>
        <w:gridCol w:w="1626"/>
      </w:tblGrid>
      <w:tr w:rsidR="00E40112" w:rsidRPr="00A81038" w:rsidTr="000D1107">
        <w:trPr>
          <w:trHeight w:val="530"/>
        </w:trPr>
        <w:tc>
          <w:tcPr>
            <w:tcW w:w="618" w:type="dxa"/>
            <w:vAlign w:val="center"/>
          </w:tcPr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№</w:t>
            </w:r>
          </w:p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proofErr w:type="gramStart"/>
            <w:r w:rsidRPr="00A81038">
              <w:rPr>
                <w:b/>
                <w:bCs/>
              </w:rPr>
              <w:t>п</w:t>
            </w:r>
            <w:proofErr w:type="gramEnd"/>
            <w:r w:rsidRPr="00A81038">
              <w:rPr>
                <w:b/>
                <w:bCs/>
              </w:rPr>
              <w:t>/п</w:t>
            </w:r>
          </w:p>
        </w:tc>
        <w:tc>
          <w:tcPr>
            <w:tcW w:w="4310" w:type="dxa"/>
            <w:vAlign w:val="center"/>
          </w:tcPr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Наименование</w:t>
            </w:r>
          </w:p>
        </w:tc>
        <w:tc>
          <w:tcPr>
            <w:tcW w:w="1686" w:type="dxa"/>
            <w:vAlign w:val="center"/>
          </w:tcPr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Доходы</w:t>
            </w:r>
          </w:p>
        </w:tc>
        <w:tc>
          <w:tcPr>
            <w:tcW w:w="1791" w:type="dxa"/>
            <w:vAlign w:val="center"/>
          </w:tcPr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Расходы</w:t>
            </w:r>
          </w:p>
        </w:tc>
        <w:tc>
          <w:tcPr>
            <w:tcW w:w="1626" w:type="dxa"/>
            <w:vAlign w:val="center"/>
          </w:tcPr>
          <w:p w:rsidR="00E40112" w:rsidRPr="00A81038" w:rsidRDefault="00E40112" w:rsidP="00C657ED">
            <w:pPr>
              <w:jc w:val="center"/>
              <w:rPr>
                <w:b/>
                <w:bCs/>
              </w:rPr>
            </w:pPr>
            <w:r w:rsidRPr="00A81038">
              <w:rPr>
                <w:b/>
                <w:bCs/>
              </w:rPr>
              <w:t>Дефицит</w:t>
            </w:r>
          </w:p>
        </w:tc>
      </w:tr>
      <w:tr w:rsidR="00E40112" w:rsidRPr="00A81038" w:rsidTr="000D1107">
        <w:trPr>
          <w:trHeight w:val="583"/>
        </w:trPr>
        <w:tc>
          <w:tcPr>
            <w:tcW w:w="618" w:type="dxa"/>
            <w:vAlign w:val="center"/>
          </w:tcPr>
          <w:p w:rsidR="00E40112" w:rsidRPr="00A81038" w:rsidRDefault="00E40112" w:rsidP="00C657ED">
            <w:pPr>
              <w:jc w:val="center"/>
            </w:pPr>
            <w:r w:rsidRPr="00A81038">
              <w:t>1</w:t>
            </w:r>
          </w:p>
        </w:tc>
        <w:tc>
          <w:tcPr>
            <w:tcW w:w="4310" w:type="dxa"/>
            <w:vAlign w:val="center"/>
          </w:tcPr>
          <w:p w:rsidR="00E40112" w:rsidRPr="00A81038" w:rsidRDefault="00E40112" w:rsidP="000D1107">
            <w:r w:rsidRPr="00A81038">
              <w:t>Решение о бюджете на 2016 год от</w:t>
            </w:r>
            <w:r w:rsidR="000D1107">
              <w:t>10</w:t>
            </w:r>
            <w:r w:rsidRPr="00A81038">
              <w:t>.12.2015</w:t>
            </w:r>
            <w:r w:rsidR="000D1107">
              <w:t xml:space="preserve"> № 24</w:t>
            </w:r>
          </w:p>
        </w:tc>
        <w:tc>
          <w:tcPr>
            <w:tcW w:w="1686" w:type="dxa"/>
            <w:vAlign w:val="center"/>
          </w:tcPr>
          <w:p w:rsidR="00E40112" w:rsidRPr="00A81038" w:rsidRDefault="00275FFB" w:rsidP="00C657ED">
            <w:pPr>
              <w:jc w:val="right"/>
            </w:pPr>
            <w:r>
              <w:t>3 351 003,6</w:t>
            </w:r>
          </w:p>
        </w:tc>
        <w:tc>
          <w:tcPr>
            <w:tcW w:w="1791" w:type="dxa"/>
            <w:vAlign w:val="center"/>
          </w:tcPr>
          <w:p w:rsidR="00E40112" w:rsidRPr="00A81038" w:rsidRDefault="00275FFB" w:rsidP="00C657ED">
            <w:pPr>
              <w:jc w:val="right"/>
            </w:pPr>
            <w:r>
              <w:t>3 351 003,6</w:t>
            </w:r>
          </w:p>
        </w:tc>
        <w:tc>
          <w:tcPr>
            <w:tcW w:w="1626" w:type="dxa"/>
            <w:vAlign w:val="center"/>
          </w:tcPr>
          <w:p w:rsidR="00E40112" w:rsidRPr="00A81038" w:rsidRDefault="00275FFB" w:rsidP="00C657ED">
            <w:pPr>
              <w:jc w:val="right"/>
            </w:pPr>
            <w:r>
              <w:t>0</w:t>
            </w:r>
          </w:p>
        </w:tc>
      </w:tr>
      <w:tr w:rsidR="00E40112" w:rsidRPr="00A81038" w:rsidTr="000D1107">
        <w:trPr>
          <w:trHeight w:val="549"/>
        </w:trPr>
        <w:tc>
          <w:tcPr>
            <w:tcW w:w="618" w:type="dxa"/>
            <w:vAlign w:val="center"/>
          </w:tcPr>
          <w:p w:rsidR="00E40112" w:rsidRPr="00CB5AEF" w:rsidRDefault="00E40112" w:rsidP="00C657ED">
            <w:pPr>
              <w:jc w:val="center"/>
            </w:pPr>
            <w:r w:rsidRPr="00CB5AEF">
              <w:t>2</w:t>
            </w:r>
          </w:p>
        </w:tc>
        <w:tc>
          <w:tcPr>
            <w:tcW w:w="4310" w:type="dxa"/>
            <w:vAlign w:val="center"/>
          </w:tcPr>
          <w:p w:rsidR="00E40112" w:rsidRPr="00CB5AEF" w:rsidRDefault="00E40112" w:rsidP="000D1107">
            <w:r w:rsidRPr="00CB5AEF">
              <w:t xml:space="preserve">Решение о бюджете на 2016 год в редакции от </w:t>
            </w:r>
            <w:r w:rsidR="000D1107">
              <w:t>29.04</w:t>
            </w:r>
            <w:r w:rsidRPr="00CB5AEF">
              <w:t>.2016</w:t>
            </w:r>
            <w:r w:rsidR="000D1107">
              <w:t xml:space="preserve"> № 50</w:t>
            </w:r>
          </w:p>
        </w:tc>
        <w:tc>
          <w:tcPr>
            <w:tcW w:w="1686" w:type="dxa"/>
            <w:vAlign w:val="center"/>
          </w:tcPr>
          <w:p w:rsidR="00E40112" w:rsidRPr="00CB5AEF" w:rsidRDefault="00794ADF" w:rsidP="00C657ED">
            <w:pPr>
              <w:jc w:val="right"/>
            </w:pPr>
            <w:r>
              <w:t>3 377 339,3</w:t>
            </w:r>
          </w:p>
        </w:tc>
        <w:tc>
          <w:tcPr>
            <w:tcW w:w="1791" w:type="dxa"/>
            <w:vAlign w:val="center"/>
          </w:tcPr>
          <w:p w:rsidR="00E40112" w:rsidRPr="00CB5AEF" w:rsidRDefault="00794ADF" w:rsidP="00C657ED">
            <w:pPr>
              <w:jc w:val="right"/>
            </w:pPr>
            <w:r>
              <w:t>3 409 264,9</w:t>
            </w:r>
          </w:p>
        </w:tc>
        <w:tc>
          <w:tcPr>
            <w:tcW w:w="1626" w:type="dxa"/>
            <w:vAlign w:val="center"/>
          </w:tcPr>
          <w:p w:rsidR="00E40112" w:rsidRPr="00CB5AEF" w:rsidRDefault="00794ADF" w:rsidP="00C657ED">
            <w:pPr>
              <w:jc w:val="right"/>
            </w:pPr>
            <w:r>
              <w:t>31 925,6</w:t>
            </w:r>
          </w:p>
        </w:tc>
      </w:tr>
      <w:tr w:rsidR="00E40112" w:rsidRPr="00CB5AEF" w:rsidTr="000D1107">
        <w:trPr>
          <w:trHeight w:val="543"/>
        </w:trPr>
        <w:tc>
          <w:tcPr>
            <w:tcW w:w="618" w:type="dxa"/>
            <w:vAlign w:val="center"/>
          </w:tcPr>
          <w:p w:rsidR="00E40112" w:rsidRPr="003C5CA6" w:rsidRDefault="00E40112" w:rsidP="00C657ED">
            <w:pPr>
              <w:jc w:val="center"/>
            </w:pPr>
            <w:r w:rsidRPr="003C5CA6">
              <w:t>3</w:t>
            </w:r>
          </w:p>
        </w:tc>
        <w:tc>
          <w:tcPr>
            <w:tcW w:w="4310" w:type="dxa"/>
            <w:vAlign w:val="center"/>
          </w:tcPr>
          <w:p w:rsidR="00E40112" w:rsidRPr="00CB5AEF" w:rsidRDefault="00E40112" w:rsidP="000D1107">
            <w:r w:rsidRPr="00CB5AEF">
              <w:t xml:space="preserve">Решение о бюджете на 2016 год в редакции от </w:t>
            </w:r>
            <w:r w:rsidR="000D1107">
              <w:t>26.05</w:t>
            </w:r>
            <w:r w:rsidRPr="00CB5AEF">
              <w:t>.2016</w:t>
            </w:r>
            <w:r w:rsidR="000D1107">
              <w:t xml:space="preserve"> №74</w:t>
            </w:r>
          </w:p>
        </w:tc>
        <w:tc>
          <w:tcPr>
            <w:tcW w:w="1686" w:type="dxa"/>
            <w:vAlign w:val="center"/>
          </w:tcPr>
          <w:p w:rsidR="00E40112" w:rsidRPr="00CB5AEF" w:rsidRDefault="00275FFB" w:rsidP="00C657ED">
            <w:pPr>
              <w:jc w:val="right"/>
            </w:pPr>
            <w:r>
              <w:t>3 392 486,4</w:t>
            </w:r>
          </w:p>
        </w:tc>
        <w:tc>
          <w:tcPr>
            <w:tcW w:w="1791" w:type="dxa"/>
            <w:vAlign w:val="center"/>
          </w:tcPr>
          <w:p w:rsidR="00E40112" w:rsidRPr="00CB5AEF" w:rsidRDefault="00275FFB" w:rsidP="00C657ED">
            <w:pPr>
              <w:jc w:val="right"/>
            </w:pPr>
            <w:r>
              <w:t>3 432 050,7</w:t>
            </w:r>
          </w:p>
        </w:tc>
        <w:tc>
          <w:tcPr>
            <w:tcW w:w="1626" w:type="dxa"/>
            <w:vAlign w:val="center"/>
          </w:tcPr>
          <w:p w:rsidR="00E40112" w:rsidRPr="00CB5AEF" w:rsidRDefault="00275FFB" w:rsidP="00C657ED">
            <w:pPr>
              <w:jc w:val="right"/>
            </w:pPr>
            <w:r>
              <w:t>39 564,3</w:t>
            </w:r>
          </w:p>
        </w:tc>
      </w:tr>
      <w:tr w:rsidR="00E40112" w:rsidRPr="00716D1D" w:rsidTr="000D1107">
        <w:trPr>
          <w:trHeight w:val="565"/>
        </w:trPr>
        <w:tc>
          <w:tcPr>
            <w:tcW w:w="618" w:type="dxa"/>
            <w:vAlign w:val="center"/>
          </w:tcPr>
          <w:p w:rsidR="00E40112" w:rsidRPr="00716D1D" w:rsidRDefault="00E40112" w:rsidP="00C657ED">
            <w:pPr>
              <w:jc w:val="center"/>
            </w:pPr>
            <w:r w:rsidRPr="00716D1D">
              <w:t>4</w:t>
            </w:r>
          </w:p>
        </w:tc>
        <w:tc>
          <w:tcPr>
            <w:tcW w:w="4310" w:type="dxa"/>
            <w:vAlign w:val="center"/>
          </w:tcPr>
          <w:p w:rsidR="00E40112" w:rsidRPr="00716D1D" w:rsidRDefault="00E40112" w:rsidP="000D1107">
            <w:r w:rsidRPr="00716D1D">
              <w:t xml:space="preserve">Решение о бюджете на 2016 год в редакции от </w:t>
            </w:r>
            <w:r w:rsidR="000D1107">
              <w:t>10.08</w:t>
            </w:r>
            <w:r w:rsidRPr="00716D1D">
              <w:t>.2016</w:t>
            </w:r>
            <w:r w:rsidR="000D1107">
              <w:t xml:space="preserve"> № 79</w:t>
            </w:r>
          </w:p>
        </w:tc>
        <w:tc>
          <w:tcPr>
            <w:tcW w:w="1686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3 504 213,1</w:t>
            </w:r>
          </w:p>
        </w:tc>
        <w:tc>
          <w:tcPr>
            <w:tcW w:w="1791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3 553 764,4</w:t>
            </w:r>
          </w:p>
        </w:tc>
        <w:tc>
          <w:tcPr>
            <w:tcW w:w="1626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49 551,2</w:t>
            </w:r>
          </w:p>
        </w:tc>
      </w:tr>
      <w:tr w:rsidR="00E40112" w:rsidRPr="00716D1D" w:rsidTr="000D1107">
        <w:trPr>
          <w:trHeight w:val="559"/>
        </w:trPr>
        <w:tc>
          <w:tcPr>
            <w:tcW w:w="618" w:type="dxa"/>
            <w:vAlign w:val="center"/>
          </w:tcPr>
          <w:p w:rsidR="00E40112" w:rsidRPr="00716D1D" w:rsidRDefault="00E40112" w:rsidP="00C657ED">
            <w:pPr>
              <w:jc w:val="center"/>
            </w:pPr>
            <w:r w:rsidRPr="00716D1D">
              <w:t>5</w:t>
            </w:r>
          </w:p>
        </w:tc>
        <w:tc>
          <w:tcPr>
            <w:tcW w:w="4310" w:type="dxa"/>
            <w:vAlign w:val="center"/>
          </w:tcPr>
          <w:p w:rsidR="00E40112" w:rsidRPr="00716D1D" w:rsidRDefault="00E40112" w:rsidP="000D1107">
            <w:r w:rsidRPr="00716D1D">
              <w:t xml:space="preserve">Решение о бюджете на 2016 год в редакции от </w:t>
            </w:r>
            <w:r w:rsidR="000D1107">
              <w:t>06.10</w:t>
            </w:r>
            <w:r w:rsidRPr="00716D1D">
              <w:t>.2016</w:t>
            </w:r>
            <w:r w:rsidR="000D1107">
              <w:t xml:space="preserve"> № 89</w:t>
            </w:r>
          </w:p>
        </w:tc>
        <w:tc>
          <w:tcPr>
            <w:tcW w:w="1686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3 525 039,7</w:t>
            </w:r>
          </w:p>
        </w:tc>
        <w:tc>
          <w:tcPr>
            <w:tcW w:w="1791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3 578 749,4</w:t>
            </w:r>
          </w:p>
        </w:tc>
        <w:tc>
          <w:tcPr>
            <w:tcW w:w="1626" w:type="dxa"/>
            <w:vAlign w:val="center"/>
          </w:tcPr>
          <w:p w:rsidR="00E40112" w:rsidRPr="00716D1D" w:rsidRDefault="00794ADF" w:rsidP="00C657ED">
            <w:pPr>
              <w:jc w:val="right"/>
            </w:pPr>
            <w:r>
              <w:t>53 709,6</w:t>
            </w:r>
          </w:p>
        </w:tc>
      </w:tr>
      <w:tr w:rsidR="00E40112" w:rsidRPr="00BB2C71" w:rsidTr="000D1107">
        <w:trPr>
          <w:trHeight w:val="539"/>
        </w:trPr>
        <w:tc>
          <w:tcPr>
            <w:tcW w:w="618" w:type="dxa"/>
            <w:vAlign w:val="center"/>
          </w:tcPr>
          <w:p w:rsidR="00E40112" w:rsidRPr="00BB2C71" w:rsidRDefault="00E40112" w:rsidP="00C657ED">
            <w:pPr>
              <w:jc w:val="center"/>
            </w:pPr>
            <w:r w:rsidRPr="00BB2C71">
              <w:t>6</w:t>
            </w:r>
          </w:p>
        </w:tc>
        <w:tc>
          <w:tcPr>
            <w:tcW w:w="4310" w:type="dxa"/>
            <w:vAlign w:val="center"/>
          </w:tcPr>
          <w:p w:rsidR="00E40112" w:rsidRPr="00BB2C71" w:rsidRDefault="00E40112" w:rsidP="000D1107">
            <w:r w:rsidRPr="00BB2C71">
              <w:t xml:space="preserve">Решение о бюджете на 2016 год в редакции от </w:t>
            </w:r>
            <w:r w:rsidR="000D1107">
              <w:t>08.11</w:t>
            </w:r>
            <w:r w:rsidRPr="00BB2C71">
              <w:t>.2016</w:t>
            </w:r>
            <w:r w:rsidR="000D1107">
              <w:t xml:space="preserve"> №131</w:t>
            </w:r>
          </w:p>
        </w:tc>
        <w:tc>
          <w:tcPr>
            <w:tcW w:w="1686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3 557 322,7</w:t>
            </w:r>
          </w:p>
        </w:tc>
        <w:tc>
          <w:tcPr>
            <w:tcW w:w="1791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3 627 639,4</w:t>
            </w:r>
          </w:p>
        </w:tc>
        <w:tc>
          <w:tcPr>
            <w:tcW w:w="1626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70 316,7</w:t>
            </w:r>
          </w:p>
        </w:tc>
      </w:tr>
      <w:tr w:rsidR="00E40112" w:rsidRPr="00BB2C71" w:rsidTr="000D1107">
        <w:trPr>
          <w:trHeight w:val="405"/>
        </w:trPr>
        <w:tc>
          <w:tcPr>
            <w:tcW w:w="618" w:type="dxa"/>
            <w:vAlign w:val="center"/>
          </w:tcPr>
          <w:p w:rsidR="00E40112" w:rsidRPr="00BB2C71" w:rsidRDefault="00E40112" w:rsidP="00C657ED">
            <w:pPr>
              <w:jc w:val="center"/>
            </w:pPr>
            <w:r w:rsidRPr="00BB2C71">
              <w:t>7</w:t>
            </w:r>
          </w:p>
        </w:tc>
        <w:tc>
          <w:tcPr>
            <w:tcW w:w="4310" w:type="dxa"/>
            <w:vAlign w:val="center"/>
          </w:tcPr>
          <w:p w:rsidR="00E40112" w:rsidRPr="00BB2C71" w:rsidRDefault="00E40112" w:rsidP="000D1107">
            <w:r w:rsidRPr="00BB2C71">
              <w:t xml:space="preserve">Решение о бюджете на 2016 год в редакции от </w:t>
            </w:r>
            <w:r w:rsidR="000D1107">
              <w:t>30.11</w:t>
            </w:r>
            <w:r w:rsidRPr="00BB2C71">
              <w:t>.2016</w:t>
            </w:r>
            <w:r w:rsidR="000D1107">
              <w:t xml:space="preserve"> №138</w:t>
            </w:r>
          </w:p>
        </w:tc>
        <w:tc>
          <w:tcPr>
            <w:tcW w:w="1686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3 590 741,6</w:t>
            </w:r>
          </w:p>
        </w:tc>
        <w:tc>
          <w:tcPr>
            <w:tcW w:w="1791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3 661 177,1</w:t>
            </w:r>
          </w:p>
        </w:tc>
        <w:tc>
          <w:tcPr>
            <w:tcW w:w="1626" w:type="dxa"/>
            <w:vAlign w:val="center"/>
          </w:tcPr>
          <w:p w:rsidR="00E40112" w:rsidRPr="00BB2C71" w:rsidRDefault="00794ADF" w:rsidP="00C657ED">
            <w:pPr>
              <w:jc w:val="right"/>
            </w:pPr>
            <w:r>
              <w:t>70 435,5</w:t>
            </w:r>
          </w:p>
        </w:tc>
      </w:tr>
      <w:tr w:rsidR="000D1107" w:rsidRPr="00BB2C71" w:rsidTr="000D1107">
        <w:trPr>
          <w:trHeight w:val="555"/>
        </w:trPr>
        <w:tc>
          <w:tcPr>
            <w:tcW w:w="618" w:type="dxa"/>
            <w:vAlign w:val="center"/>
          </w:tcPr>
          <w:p w:rsidR="000D1107" w:rsidRPr="00BB2C71" w:rsidRDefault="000D1107" w:rsidP="00C657ED">
            <w:pPr>
              <w:jc w:val="center"/>
            </w:pPr>
            <w:r>
              <w:t>8</w:t>
            </w:r>
          </w:p>
        </w:tc>
        <w:tc>
          <w:tcPr>
            <w:tcW w:w="4310" w:type="dxa"/>
            <w:vAlign w:val="center"/>
          </w:tcPr>
          <w:p w:rsidR="000D1107" w:rsidRPr="00BB2C71" w:rsidRDefault="000D1107" w:rsidP="000D1107">
            <w:r w:rsidRPr="00BB2C71">
              <w:t xml:space="preserve">Решение о бюджете на 2016 год в редакции от </w:t>
            </w:r>
            <w:r>
              <w:t>28.12</w:t>
            </w:r>
            <w:r w:rsidRPr="00BB2C71">
              <w:t>.2016</w:t>
            </w:r>
            <w:r>
              <w:t xml:space="preserve"> №143</w:t>
            </w:r>
          </w:p>
        </w:tc>
        <w:tc>
          <w:tcPr>
            <w:tcW w:w="1686" w:type="dxa"/>
            <w:vAlign w:val="center"/>
          </w:tcPr>
          <w:p w:rsidR="000D1107" w:rsidRPr="00BB2C71" w:rsidRDefault="00794ADF" w:rsidP="00C657ED">
            <w:pPr>
              <w:jc w:val="right"/>
            </w:pPr>
            <w:r>
              <w:t>3 731 291,8</w:t>
            </w:r>
          </w:p>
        </w:tc>
        <w:tc>
          <w:tcPr>
            <w:tcW w:w="1791" w:type="dxa"/>
            <w:vAlign w:val="center"/>
          </w:tcPr>
          <w:p w:rsidR="000D1107" w:rsidRPr="00BB2C71" w:rsidRDefault="00794ADF" w:rsidP="00C657ED">
            <w:pPr>
              <w:jc w:val="right"/>
            </w:pPr>
            <w:r>
              <w:t>3 803 895,3</w:t>
            </w:r>
          </w:p>
        </w:tc>
        <w:tc>
          <w:tcPr>
            <w:tcW w:w="1626" w:type="dxa"/>
            <w:vAlign w:val="center"/>
          </w:tcPr>
          <w:p w:rsidR="000D1107" w:rsidRPr="00BB2C71" w:rsidRDefault="00794ADF" w:rsidP="00C657ED">
            <w:pPr>
              <w:jc w:val="right"/>
            </w:pPr>
            <w:r>
              <w:t>70 603,5</w:t>
            </w:r>
          </w:p>
        </w:tc>
      </w:tr>
    </w:tbl>
    <w:p w:rsidR="00E40112" w:rsidRPr="00282A1E" w:rsidRDefault="00E4011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</w:p>
    <w:p w:rsidR="00D25AED" w:rsidRPr="00225961" w:rsidRDefault="00D25AE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225961">
        <w:rPr>
          <w:sz w:val="28"/>
          <w:szCs w:val="28"/>
        </w:rPr>
        <w:t>Наибольший рост  расходов по сравнению с первоначально утвержденными показателями отмечается:</w:t>
      </w:r>
    </w:p>
    <w:p w:rsidR="00201CA4" w:rsidRPr="00342F61" w:rsidRDefault="000C616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01</w:t>
      </w:r>
      <w:r w:rsidR="00B27D9E" w:rsidRPr="00342F61">
        <w:rPr>
          <w:sz w:val="28"/>
          <w:szCs w:val="28"/>
          <w:u w:val="single"/>
        </w:rPr>
        <w:t>0</w:t>
      </w:r>
      <w:r w:rsidR="00E8722E" w:rsidRPr="00342F61">
        <w:rPr>
          <w:sz w:val="28"/>
          <w:szCs w:val="28"/>
          <w:u w:val="single"/>
        </w:rPr>
        <w:t>0</w:t>
      </w:r>
      <w:r w:rsidRPr="00342F61">
        <w:rPr>
          <w:sz w:val="28"/>
          <w:szCs w:val="28"/>
          <w:u w:val="single"/>
        </w:rPr>
        <w:t xml:space="preserve"> «</w:t>
      </w:r>
      <w:r w:rsidR="00E8722E" w:rsidRPr="00342F61">
        <w:rPr>
          <w:sz w:val="28"/>
          <w:szCs w:val="28"/>
          <w:u w:val="single"/>
        </w:rPr>
        <w:t>Общегосударственные вопросы</w:t>
      </w:r>
      <w:r w:rsidR="007A0700" w:rsidRPr="00342F61">
        <w:rPr>
          <w:sz w:val="28"/>
          <w:szCs w:val="28"/>
          <w:u w:val="single"/>
        </w:rPr>
        <w:t>»</w:t>
      </w:r>
      <w:r w:rsidR="00201CA4">
        <w:rPr>
          <w:sz w:val="28"/>
          <w:szCs w:val="28"/>
        </w:rPr>
        <w:t xml:space="preserve"> -</w:t>
      </w:r>
      <w:r w:rsidR="005A487F" w:rsidRPr="00EC68C1">
        <w:rPr>
          <w:sz w:val="28"/>
          <w:szCs w:val="28"/>
        </w:rPr>
        <w:t xml:space="preserve"> </w:t>
      </w:r>
      <w:r w:rsidR="00D25AED" w:rsidRPr="00EC68C1">
        <w:rPr>
          <w:sz w:val="28"/>
          <w:szCs w:val="28"/>
        </w:rPr>
        <w:t xml:space="preserve">увеличение расходов связано с поступлением </w:t>
      </w:r>
      <w:r w:rsidR="00B27D9E" w:rsidRPr="00EC68C1">
        <w:rPr>
          <w:sz w:val="28"/>
          <w:szCs w:val="28"/>
        </w:rPr>
        <w:t xml:space="preserve"> </w:t>
      </w:r>
      <w:r w:rsidR="00D25AED" w:rsidRPr="00342F61">
        <w:rPr>
          <w:sz w:val="28"/>
          <w:szCs w:val="28"/>
        </w:rPr>
        <w:t>дополнительных средств из бюджета РТ</w:t>
      </w:r>
      <w:r w:rsidR="00F06674" w:rsidRPr="00342F61">
        <w:rPr>
          <w:sz w:val="28"/>
          <w:szCs w:val="28"/>
        </w:rPr>
        <w:t>:</w:t>
      </w:r>
    </w:p>
    <w:p w:rsidR="00201CA4" w:rsidRDefault="00D25AED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 xml:space="preserve"> </w:t>
      </w:r>
      <w:r w:rsidR="00F06674" w:rsidRPr="00EC68C1">
        <w:rPr>
          <w:sz w:val="28"/>
          <w:szCs w:val="28"/>
        </w:rPr>
        <w:t xml:space="preserve">- </w:t>
      </w:r>
      <w:r w:rsidR="00B27D9E" w:rsidRPr="00EC68C1">
        <w:rPr>
          <w:sz w:val="28"/>
          <w:szCs w:val="28"/>
        </w:rPr>
        <w:t>на</w:t>
      </w:r>
      <w:r w:rsidR="00A76DEF" w:rsidRPr="00EC68C1">
        <w:rPr>
          <w:sz w:val="28"/>
          <w:szCs w:val="28"/>
        </w:rPr>
        <w:t xml:space="preserve"> премирование руководителей муниципальных образований</w:t>
      </w:r>
      <w:r w:rsidR="00EC68C1" w:rsidRPr="00EC68C1">
        <w:rPr>
          <w:sz w:val="28"/>
          <w:szCs w:val="28"/>
        </w:rPr>
        <w:t>;</w:t>
      </w:r>
      <w:r w:rsidR="00201CA4">
        <w:rPr>
          <w:sz w:val="28"/>
          <w:szCs w:val="28"/>
        </w:rPr>
        <w:t xml:space="preserve"> </w:t>
      </w:r>
    </w:p>
    <w:p w:rsidR="00201CA4" w:rsidRDefault="00201CA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F06674" w:rsidRPr="00EC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делегации с поездкой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еул</w:t>
      </w:r>
      <w:proofErr w:type="spellEnd"/>
      <w:r>
        <w:rPr>
          <w:sz w:val="28"/>
          <w:szCs w:val="28"/>
        </w:rPr>
        <w:t xml:space="preserve"> (Республика Корея); </w:t>
      </w:r>
    </w:p>
    <w:p w:rsidR="00201CA4" w:rsidRDefault="00EC68C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>- на проведение Всероссийской сельскохозяйственной переписи;</w:t>
      </w:r>
    </w:p>
    <w:p w:rsidR="00201CA4" w:rsidRDefault="00EC68C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lastRenderedPageBreak/>
        <w:t xml:space="preserve"> </w:t>
      </w:r>
      <w:r w:rsidR="00F06674" w:rsidRPr="00EC68C1">
        <w:rPr>
          <w:sz w:val="28"/>
          <w:szCs w:val="28"/>
        </w:rPr>
        <w:t xml:space="preserve">- на </w:t>
      </w:r>
      <w:r w:rsidRPr="00EC68C1">
        <w:rPr>
          <w:sz w:val="28"/>
          <w:szCs w:val="28"/>
        </w:rPr>
        <w:t>мероприятия, направленные на развитие системы ТОС;</w:t>
      </w:r>
    </w:p>
    <w:p w:rsidR="00342F61" w:rsidRDefault="00F0667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 xml:space="preserve"> </w:t>
      </w:r>
      <w:r w:rsidR="0094577D" w:rsidRPr="00EC68C1">
        <w:rPr>
          <w:sz w:val="28"/>
          <w:szCs w:val="28"/>
        </w:rPr>
        <w:t>за счет дополнительных</w:t>
      </w:r>
      <w:r w:rsidR="000C6162" w:rsidRPr="00EC68C1">
        <w:rPr>
          <w:sz w:val="28"/>
          <w:szCs w:val="28"/>
        </w:rPr>
        <w:t xml:space="preserve"> </w:t>
      </w:r>
      <w:r w:rsidR="005E17A2" w:rsidRPr="00EC68C1">
        <w:rPr>
          <w:sz w:val="28"/>
          <w:szCs w:val="28"/>
        </w:rPr>
        <w:t xml:space="preserve">доходов </w:t>
      </w:r>
      <w:r w:rsidR="00342F61">
        <w:rPr>
          <w:sz w:val="28"/>
          <w:szCs w:val="28"/>
        </w:rPr>
        <w:t xml:space="preserve">местного </w:t>
      </w:r>
      <w:r w:rsidR="00EC68C1">
        <w:rPr>
          <w:sz w:val="28"/>
          <w:szCs w:val="28"/>
        </w:rPr>
        <w:t xml:space="preserve">бюджета </w:t>
      </w:r>
      <w:r w:rsidR="00E8722E" w:rsidRPr="00EC68C1">
        <w:rPr>
          <w:sz w:val="28"/>
          <w:szCs w:val="28"/>
        </w:rPr>
        <w:t>выделены средства</w:t>
      </w:r>
      <w:r w:rsidR="00996BCC">
        <w:rPr>
          <w:sz w:val="28"/>
          <w:szCs w:val="28"/>
        </w:rPr>
        <w:t>:</w:t>
      </w:r>
    </w:p>
    <w:p w:rsidR="00342F61" w:rsidRDefault="00996BCC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722E" w:rsidRPr="00EC68C1">
        <w:rPr>
          <w:sz w:val="28"/>
          <w:szCs w:val="28"/>
        </w:rPr>
        <w:t xml:space="preserve"> </w:t>
      </w:r>
      <w:r w:rsidR="00B27D9E" w:rsidRPr="00EC68C1">
        <w:rPr>
          <w:sz w:val="28"/>
          <w:szCs w:val="28"/>
        </w:rPr>
        <w:t>на</w:t>
      </w:r>
      <w:r w:rsidR="00201CA4">
        <w:rPr>
          <w:sz w:val="28"/>
          <w:szCs w:val="28"/>
        </w:rPr>
        <w:t xml:space="preserve"> </w:t>
      </w:r>
      <w:r w:rsidR="00201CA4" w:rsidRPr="00620506">
        <w:rPr>
          <w:sz w:val="28"/>
          <w:szCs w:val="28"/>
        </w:rPr>
        <w:t>обеспечение деятельности органов местного самоуправления</w:t>
      </w:r>
      <w:r w:rsidR="00B27D9E" w:rsidRPr="00EC68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2F61" w:rsidRDefault="00201CA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506">
        <w:rPr>
          <w:sz w:val="28"/>
          <w:szCs w:val="28"/>
        </w:rPr>
        <w:t>на финансовое обеспечение выполнения муниципального задания бюджетными и автономными учреждениями</w:t>
      </w:r>
      <w:r>
        <w:rPr>
          <w:sz w:val="28"/>
          <w:szCs w:val="28"/>
        </w:rPr>
        <w:t xml:space="preserve">; </w:t>
      </w:r>
    </w:p>
    <w:p w:rsidR="000C6162" w:rsidRPr="00EC68C1" w:rsidRDefault="00996BCC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увеличение уставного капитала муниципальных унитарных предприятий</w:t>
      </w:r>
      <w:r w:rsidR="00201CA4">
        <w:rPr>
          <w:sz w:val="28"/>
          <w:szCs w:val="28"/>
        </w:rPr>
        <w:t xml:space="preserve"> МУП «Комбинат здоровья», МУП «УКС АМР»</w:t>
      </w:r>
      <w:r>
        <w:rPr>
          <w:sz w:val="28"/>
          <w:szCs w:val="28"/>
        </w:rPr>
        <w:t>;</w:t>
      </w:r>
    </w:p>
    <w:p w:rsidR="00342F61" w:rsidRDefault="007F27FB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0314 «Другие вопросы в области национальной безопасности и правоохранительной деятельности»</w:t>
      </w:r>
      <w:r w:rsidRPr="00EC68C1">
        <w:rPr>
          <w:sz w:val="28"/>
          <w:szCs w:val="28"/>
        </w:rPr>
        <w:t xml:space="preserve"> - увеличение расходов за счет поступления </w:t>
      </w:r>
      <w:proofErr w:type="spellStart"/>
      <w:r w:rsidRPr="00EC68C1">
        <w:rPr>
          <w:sz w:val="28"/>
          <w:szCs w:val="28"/>
        </w:rPr>
        <w:t>софинансирования</w:t>
      </w:r>
      <w:proofErr w:type="spellEnd"/>
      <w:r w:rsidRPr="00EC68C1">
        <w:rPr>
          <w:sz w:val="28"/>
          <w:szCs w:val="28"/>
        </w:rPr>
        <w:t xml:space="preserve"> из республиканского бюджета РТ</w:t>
      </w:r>
    </w:p>
    <w:p w:rsidR="00342F61" w:rsidRDefault="00342F6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7FB" w:rsidRPr="00EC68C1">
        <w:rPr>
          <w:sz w:val="28"/>
          <w:szCs w:val="28"/>
        </w:rPr>
        <w:t xml:space="preserve"> на оплату </w:t>
      </w:r>
      <w:proofErr w:type="gramStart"/>
      <w:r w:rsidR="007F27FB" w:rsidRPr="00EC68C1">
        <w:rPr>
          <w:sz w:val="28"/>
          <w:szCs w:val="28"/>
        </w:rPr>
        <w:t xml:space="preserve">труда </w:t>
      </w:r>
      <w:r w:rsidR="005E2549" w:rsidRPr="00EC68C1">
        <w:rPr>
          <w:sz w:val="28"/>
          <w:szCs w:val="28"/>
        </w:rPr>
        <w:t>начальников общественных пунктов охраны порядка</w:t>
      </w:r>
      <w:proofErr w:type="gramEnd"/>
      <w:r w:rsidR="00C44A97">
        <w:rPr>
          <w:sz w:val="28"/>
          <w:szCs w:val="28"/>
        </w:rPr>
        <w:t>,</w:t>
      </w:r>
    </w:p>
    <w:p w:rsidR="00EC68C1" w:rsidRPr="00EC68C1" w:rsidRDefault="00342F6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4A97">
        <w:rPr>
          <w:sz w:val="28"/>
          <w:szCs w:val="28"/>
        </w:rPr>
        <w:t xml:space="preserve"> строительство, благоустройство, оснащение пунктов для уполномоченных полиции</w:t>
      </w:r>
      <w:r w:rsidR="005E2549" w:rsidRPr="00EC68C1">
        <w:rPr>
          <w:sz w:val="28"/>
          <w:szCs w:val="28"/>
        </w:rPr>
        <w:t xml:space="preserve">; </w:t>
      </w:r>
    </w:p>
    <w:p w:rsidR="00342F61" w:rsidRDefault="008E2B45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C68C1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0408 «Транспорт»</w:t>
      </w:r>
      <w:r w:rsidRPr="00EC68C1">
        <w:rPr>
          <w:sz w:val="28"/>
          <w:szCs w:val="28"/>
        </w:rPr>
        <w:t xml:space="preserve"> увеличение расходов за счет средств </w:t>
      </w:r>
      <w:r w:rsidR="00EA6A61" w:rsidRPr="00EC68C1">
        <w:rPr>
          <w:sz w:val="28"/>
          <w:szCs w:val="28"/>
        </w:rPr>
        <w:t>республиканского</w:t>
      </w:r>
      <w:r w:rsidR="00A463FA" w:rsidRPr="00EC68C1">
        <w:rPr>
          <w:sz w:val="28"/>
          <w:szCs w:val="28"/>
        </w:rPr>
        <w:t xml:space="preserve"> </w:t>
      </w:r>
      <w:r w:rsidRPr="00EC68C1">
        <w:rPr>
          <w:sz w:val="28"/>
          <w:szCs w:val="28"/>
        </w:rPr>
        <w:t>бюджета, поступивших в виде субсидий</w:t>
      </w:r>
      <w:r w:rsidR="00342F61">
        <w:rPr>
          <w:sz w:val="28"/>
          <w:szCs w:val="28"/>
        </w:rPr>
        <w:t>:</w:t>
      </w:r>
    </w:p>
    <w:p w:rsidR="00342F61" w:rsidRDefault="00342F6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7FB" w:rsidRPr="00EC68C1">
        <w:rPr>
          <w:sz w:val="28"/>
          <w:szCs w:val="28"/>
        </w:rPr>
        <w:t xml:space="preserve"> </w:t>
      </w:r>
      <w:r w:rsidR="00225961" w:rsidRPr="00EC68C1">
        <w:rPr>
          <w:sz w:val="28"/>
          <w:szCs w:val="28"/>
        </w:rPr>
        <w:t>на возмещение недополученных доходов</w:t>
      </w:r>
      <w:r w:rsidR="00996BCC">
        <w:rPr>
          <w:sz w:val="28"/>
          <w:szCs w:val="28"/>
        </w:rPr>
        <w:t xml:space="preserve"> от оказания услуг, связанных с осуществлением регулярных перевозок пассажиров и багажа автомобильным транспортом общего пользования по регулируем</w:t>
      </w:r>
      <w:r w:rsidR="00201CA4">
        <w:rPr>
          <w:sz w:val="28"/>
          <w:szCs w:val="28"/>
        </w:rPr>
        <w:t xml:space="preserve">ым тарифам на территории района; </w:t>
      </w:r>
    </w:p>
    <w:p w:rsidR="008E2B45" w:rsidRPr="00EC68C1" w:rsidRDefault="00201CA4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дополнительных доходов местного бюджета </w:t>
      </w:r>
      <w:r w:rsidRPr="00620506">
        <w:rPr>
          <w:sz w:val="28"/>
          <w:szCs w:val="28"/>
        </w:rPr>
        <w:t>на компенсацию выпадающих доходов от перевозки инвалидов-колясочников, компенсацию выпадающих доходов по пассажирским маршрутам № 4, 4а «</w:t>
      </w:r>
      <w:proofErr w:type="spellStart"/>
      <w:r w:rsidRPr="00620506">
        <w:rPr>
          <w:sz w:val="28"/>
          <w:szCs w:val="28"/>
        </w:rPr>
        <w:t>Техснаб</w:t>
      </w:r>
      <w:proofErr w:type="spellEnd"/>
      <w:r>
        <w:rPr>
          <w:sz w:val="28"/>
          <w:szCs w:val="28"/>
        </w:rPr>
        <w:t xml:space="preserve"> </w:t>
      </w:r>
      <w:r w:rsidRPr="006205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20506">
        <w:rPr>
          <w:sz w:val="28"/>
          <w:szCs w:val="28"/>
        </w:rPr>
        <w:t>мкр</w:t>
      </w:r>
      <w:proofErr w:type="spellEnd"/>
      <w:r w:rsidRPr="00620506">
        <w:rPr>
          <w:sz w:val="28"/>
          <w:szCs w:val="28"/>
        </w:rPr>
        <w:t xml:space="preserve">. </w:t>
      </w:r>
      <w:proofErr w:type="spellStart"/>
      <w:r w:rsidRPr="00620506">
        <w:rPr>
          <w:sz w:val="28"/>
          <w:szCs w:val="28"/>
        </w:rPr>
        <w:t>Яшьлек</w:t>
      </w:r>
      <w:proofErr w:type="spellEnd"/>
      <w:r w:rsidRPr="00620506">
        <w:rPr>
          <w:sz w:val="28"/>
          <w:szCs w:val="28"/>
        </w:rPr>
        <w:t>» и № 8 «</w:t>
      </w:r>
      <w:proofErr w:type="spellStart"/>
      <w:r w:rsidRPr="00620506">
        <w:rPr>
          <w:sz w:val="28"/>
          <w:szCs w:val="28"/>
        </w:rPr>
        <w:t>Урсала</w:t>
      </w:r>
      <w:proofErr w:type="spellEnd"/>
      <w:r w:rsidRPr="00620506">
        <w:rPr>
          <w:sz w:val="28"/>
          <w:szCs w:val="28"/>
        </w:rPr>
        <w:t>»</w:t>
      </w:r>
      <w:r w:rsidR="008E2B45" w:rsidRPr="00EC68C1">
        <w:rPr>
          <w:sz w:val="28"/>
          <w:szCs w:val="28"/>
        </w:rPr>
        <w:t>;</w:t>
      </w:r>
    </w:p>
    <w:p w:rsidR="005E17A2" w:rsidRPr="00E62592" w:rsidRDefault="005E17A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0501 «Жилищное хозяйство»</w:t>
      </w:r>
      <w:r w:rsidRPr="00E62592">
        <w:rPr>
          <w:sz w:val="28"/>
          <w:szCs w:val="28"/>
        </w:rPr>
        <w:t xml:space="preserve"> план был уточнен за счет дополнительных поступлений в виде субсидий из </w:t>
      </w:r>
      <w:r w:rsidR="007F27FB" w:rsidRPr="00E62592">
        <w:rPr>
          <w:sz w:val="28"/>
          <w:szCs w:val="28"/>
        </w:rPr>
        <w:t xml:space="preserve">федерального бюджета РФ </w:t>
      </w:r>
      <w:r w:rsidRPr="00E62592">
        <w:rPr>
          <w:sz w:val="28"/>
          <w:szCs w:val="28"/>
        </w:rPr>
        <w:t xml:space="preserve">на обеспечение мероприятий по </w:t>
      </w:r>
      <w:r w:rsidR="00B14F5E" w:rsidRPr="00E62592">
        <w:rPr>
          <w:sz w:val="28"/>
          <w:szCs w:val="28"/>
        </w:rPr>
        <w:t>переселени</w:t>
      </w:r>
      <w:r w:rsidR="007F27FB" w:rsidRPr="00E62592">
        <w:rPr>
          <w:sz w:val="28"/>
          <w:szCs w:val="28"/>
        </w:rPr>
        <w:t>ю</w:t>
      </w:r>
      <w:r w:rsidR="00B14F5E" w:rsidRPr="00E62592">
        <w:rPr>
          <w:sz w:val="28"/>
          <w:szCs w:val="28"/>
        </w:rPr>
        <w:t xml:space="preserve"> граждан из аварийного жилищного фонда</w:t>
      </w:r>
      <w:r w:rsidRPr="00E62592">
        <w:rPr>
          <w:sz w:val="28"/>
          <w:szCs w:val="28"/>
        </w:rPr>
        <w:t>;</w:t>
      </w:r>
    </w:p>
    <w:p w:rsidR="004C0B06" w:rsidRPr="00E62592" w:rsidRDefault="004C0B06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b/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0503 «Благоустройство»</w:t>
      </w:r>
      <w:r w:rsidRPr="00E62592">
        <w:rPr>
          <w:sz w:val="28"/>
          <w:szCs w:val="28"/>
        </w:rPr>
        <w:t xml:space="preserve"> увеличение расходов в основном за счет поступлений субсидий из </w:t>
      </w:r>
      <w:r w:rsidR="00F06674" w:rsidRPr="00E62592">
        <w:rPr>
          <w:sz w:val="28"/>
          <w:szCs w:val="28"/>
        </w:rPr>
        <w:t xml:space="preserve">республиканского </w:t>
      </w:r>
      <w:r w:rsidRPr="00E62592">
        <w:rPr>
          <w:sz w:val="28"/>
          <w:szCs w:val="28"/>
        </w:rPr>
        <w:t>бюджета на</w:t>
      </w:r>
      <w:r w:rsidR="00F06674" w:rsidRPr="00E62592">
        <w:rPr>
          <w:sz w:val="28"/>
          <w:szCs w:val="28"/>
        </w:rPr>
        <w:t xml:space="preserve"> решение вопросов местного значения, </w:t>
      </w:r>
      <w:r w:rsidR="007F27FB" w:rsidRPr="00E62592">
        <w:rPr>
          <w:sz w:val="28"/>
          <w:szCs w:val="28"/>
        </w:rPr>
        <w:t>субсидии на премирование победителей конкурса на звание «Самый благоустроенный населенный пункт Республики Татарстан»</w:t>
      </w:r>
      <w:r w:rsidRPr="00E62592">
        <w:rPr>
          <w:sz w:val="28"/>
          <w:szCs w:val="28"/>
        </w:rPr>
        <w:t>;</w:t>
      </w:r>
      <w:r w:rsidR="005B1412">
        <w:rPr>
          <w:sz w:val="28"/>
          <w:szCs w:val="28"/>
        </w:rPr>
        <w:t xml:space="preserve"> </w:t>
      </w:r>
      <w:r w:rsidR="005B1412" w:rsidRPr="00EC68C1">
        <w:rPr>
          <w:sz w:val="28"/>
          <w:szCs w:val="28"/>
        </w:rPr>
        <w:t xml:space="preserve">за счет дополнительных доходов </w:t>
      </w:r>
      <w:r w:rsidR="005B1412">
        <w:rPr>
          <w:sz w:val="28"/>
          <w:szCs w:val="28"/>
        </w:rPr>
        <w:t xml:space="preserve">бюджета </w:t>
      </w:r>
      <w:r w:rsidR="005B1412" w:rsidRPr="00EC68C1">
        <w:rPr>
          <w:sz w:val="28"/>
          <w:szCs w:val="28"/>
        </w:rPr>
        <w:t>выделены средства</w:t>
      </w:r>
      <w:r w:rsidR="005B1412">
        <w:rPr>
          <w:sz w:val="28"/>
          <w:szCs w:val="28"/>
        </w:rPr>
        <w:t xml:space="preserve"> </w:t>
      </w:r>
      <w:r w:rsidR="00201CA4" w:rsidRPr="00620506">
        <w:rPr>
          <w:sz w:val="28"/>
          <w:szCs w:val="28"/>
        </w:rPr>
        <w:t>на</w:t>
      </w:r>
      <w:r w:rsidR="00B10A38">
        <w:rPr>
          <w:sz w:val="28"/>
          <w:szCs w:val="28"/>
        </w:rPr>
        <w:t xml:space="preserve"> </w:t>
      </w:r>
      <w:r w:rsidR="007B5B64">
        <w:rPr>
          <w:sz w:val="28"/>
          <w:szCs w:val="28"/>
        </w:rPr>
        <w:t xml:space="preserve">благоустройство и </w:t>
      </w:r>
      <w:r w:rsidR="00B10A38">
        <w:rPr>
          <w:sz w:val="28"/>
          <w:szCs w:val="28"/>
        </w:rPr>
        <w:t xml:space="preserve">развитие </w:t>
      </w:r>
      <w:proofErr w:type="spellStart"/>
      <w:r w:rsidR="00B10A38">
        <w:rPr>
          <w:sz w:val="28"/>
          <w:szCs w:val="28"/>
        </w:rPr>
        <w:t>велодорожной</w:t>
      </w:r>
      <w:proofErr w:type="spellEnd"/>
      <w:r w:rsidR="00B10A38">
        <w:rPr>
          <w:sz w:val="28"/>
          <w:szCs w:val="28"/>
        </w:rPr>
        <w:t xml:space="preserve"> инфраструктуры</w:t>
      </w:r>
      <w:r w:rsidR="00201CA4">
        <w:rPr>
          <w:sz w:val="28"/>
          <w:szCs w:val="28"/>
        </w:rPr>
        <w:t>;</w:t>
      </w:r>
    </w:p>
    <w:p w:rsidR="00342F61" w:rsidRDefault="0018404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070</w:t>
      </w:r>
      <w:r w:rsidR="00A76DEF" w:rsidRPr="00342F61">
        <w:rPr>
          <w:sz w:val="28"/>
          <w:szCs w:val="28"/>
          <w:u w:val="single"/>
        </w:rPr>
        <w:t>0</w:t>
      </w:r>
      <w:r w:rsidRPr="00342F61">
        <w:rPr>
          <w:sz w:val="28"/>
          <w:szCs w:val="28"/>
          <w:u w:val="single"/>
        </w:rPr>
        <w:t xml:space="preserve"> «</w:t>
      </w:r>
      <w:r w:rsidR="00A76DEF" w:rsidRPr="00342F61">
        <w:rPr>
          <w:sz w:val="28"/>
          <w:szCs w:val="28"/>
          <w:u w:val="single"/>
        </w:rPr>
        <w:t>Образование</w:t>
      </w:r>
      <w:r w:rsidRPr="00342F61">
        <w:rPr>
          <w:sz w:val="28"/>
          <w:szCs w:val="28"/>
          <w:u w:val="single"/>
        </w:rPr>
        <w:t>»</w:t>
      </w:r>
      <w:r w:rsidRPr="00A76DEF">
        <w:rPr>
          <w:sz w:val="28"/>
          <w:szCs w:val="28"/>
        </w:rPr>
        <w:t xml:space="preserve"> уточнение плана за счет дополнительных поступлений из республиканского бюджета:</w:t>
      </w:r>
    </w:p>
    <w:p w:rsidR="00342F61" w:rsidRDefault="0018404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 </w:t>
      </w:r>
      <w:r w:rsidR="00A76DEF" w:rsidRPr="00A76DEF">
        <w:rPr>
          <w:sz w:val="28"/>
          <w:szCs w:val="28"/>
        </w:rPr>
        <w:t xml:space="preserve">- на реализацию мероприятий по созданию условий, обеспечивающих доступность дополнительных программ естественно-научной и технической направленности </w:t>
      </w:r>
      <w:proofErr w:type="gramStart"/>
      <w:r w:rsidR="00A76DEF" w:rsidRPr="00A76DEF">
        <w:rPr>
          <w:sz w:val="28"/>
          <w:szCs w:val="28"/>
        </w:rPr>
        <w:t>для</w:t>
      </w:r>
      <w:proofErr w:type="gramEnd"/>
      <w:r w:rsidR="00A76DEF" w:rsidRPr="00A76DEF">
        <w:rPr>
          <w:sz w:val="28"/>
          <w:szCs w:val="28"/>
        </w:rPr>
        <w:t xml:space="preserve"> обучающихся; </w:t>
      </w:r>
    </w:p>
    <w:p w:rsidR="00342F61" w:rsidRDefault="00A76DE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- на организацию отдыха, оздоровления, занятости детей и молодежи; </w:t>
      </w:r>
    </w:p>
    <w:p w:rsidR="00342F61" w:rsidRDefault="0018404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lastRenderedPageBreak/>
        <w:t xml:space="preserve">- на выплату </w:t>
      </w:r>
      <w:r w:rsidR="00867C9A" w:rsidRPr="00A76DEF">
        <w:rPr>
          <w:sz w:val="28"/>
          <w:szCs w:val="28"/>
        </w:rPr>
        <w:t xml:space="preserve">ежемесячной стимулирующей надбавки педагогическим работникам-молодым специалистам; </w:t>
      </w:r>
    </w:p>
    <w:p w:rsidR="00342F61" w:rsidRDefault="00867C9A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- на поддержку тренеров-руководителей; </w:t>
      </w:r>
    </w:p>
    <w:p w:rsidR="00342F61" w:rsidRDefault="008873C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- гранты </w:t>
      </w:r>
      <w:r w:rsidR="00867C9A" w:rsidRPr="00A76DEF">
        <w:rPr>
          <w:sz w:val="28"/>
          <w:szCs w:val="28"/>
        </w:rPr>
        <w:t xml:space="preserve">педагогическим работникам </w:t>
      </w:r>
      <w:r w:rsidR="005E2549" w:rsidRPr="00A76DEF">
        <w:rPr>
          <w:sz w:val="28"/>
          <w:szCs w:val="28"/>
        </w:rPr>
        <w:t>«</w:t>
      </w:r>
      <w:r w:rsidRPr="00A76DEF">
        <w:rPr>
          <w:sz w:val="28"/>
          <w:szCs w:val="28"/>
        </w:rPr>
        <w:t>Наш новый</w:t>
      </w:r>
      <w:r w:rsidR="005E2549" w:rsidRPr="00A76DEF">
        <w:rPr>
          <w:sz w:val="28"/>
          <w:szCs w:val="28"/>
        </w:rPr>
        <w:t xml:space="preserve"> учитель», «</w:t>
      </w:r>
      <w:r w:rsidR="00867C9A" w:rsidRPr="00A76DEF">
        <w:rPr>
          <w:sz w:val="28"/>
          <w:szCs w:val="28"/>
        </w:rPr>
        <w:t>У</w:t>
      </w:r>
      <w:r w:rsidR="005E2549" w:rsidRPr="00A76DEF">
        <w:rPr>
          <w:sz w:val="28"/>
          <w:szCs w:val="28"/>
        </w:rPr>
        <w:t>читель</w:t>
      </w:r>
      <w:r w:rsidR="00867C9A" w:rsidRPr="00A76DEF">
        <w:rPr>
          <w:sz w:val="28"/>
          <w:szCs w:val="28"/>
        </w:rPr>
        <w:t>-эксперт</w:t>
      </w:r>
      <w:r w:rsidR="005E2549" w:rsidRPr="00A76DEF">
        <w:rPr>
          <w:sz w:val="28"/>
          <w:szCs w:val="28"/>
        </w:rPr>
        <w:t>»</w:t>
      </w:r>
      <w:r w:rsidR="00924C31">
        <w:rPr>
          <w:sz w:val="28"/>
          <w:szCs w:val="28"/>
        </w:rPr>
        <w:t>, «Учитель-наставник»</w:t>
      </w:r>
      <w:r w:rsidRPr="00A76DEF">
        <w:rPr>
          <w:sz w:val="28"/>
          <w:szCs w:val="28"/>
        </w:rPr>
        <w:t xml:space="preserve">; </w:t>
      </w:r>
    </w:p>
    <w:p w:rsidR="00342F61" w:rsidRDefault="00A76DE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>- гранты «Лучший методист»;</w:t>
      </w:r>
    </w:p>
    <w:p w:rsidR="00342F61" w:rsidRDefault="00A76DE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76DEF">
        <w:rPr>
          <w:sz w:val="28"/>
          <w:szCs w:val="28"/>
        </w:rPr>
        <w:t xml:space="preserve"> - грант «Успешная школа»</w:t>
      </w:r>
      <w:r w:rsidR="00924C31">
        <w:rPr>
          <w:sz w:val="28"/>
          <w:szCs w:val="28"/>
        </w:rPr>
        <w:t>; - грант «Поддержка общеобразовательных организаций Республики Татарстан, имеющих интернат для одаренных детей»;</w:t>
      </w:r>
      <w:r w:rsidR="00184040" w:rsidRPr="00A76DEF">
        <w:rPr>
          <w:sz w:val="28"/>
          <w:szCs w:val="28"/>
        </w:rPr>
        <w:t xml:space="preserve"> </w:t>
      </w:r>
    </w:p>
    <w:p w:rsidR="00342F61" w:rsidRDefault="005B1412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дополнительных доходов местного бюджета:</w:t>
      </w:r>
    </w:p>
    <w:p w:rsidR="00184040" w:rsidRPr="00A76DEF" w:rsidRDefault="00342F6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41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B1412">
        <w:rPr>
          <w:sz w:val="28"/>
          <w:szCs w:val="28"/>
        </w:rPr>
        <w:t xml:space="preserve"> </w:t>
      </w:r>
      <w:r w:rsidR="005B1412" w:rsidRPr="005D3622">
        <w:rPr>
          <w:sz w:val="28"/>
          <w:szCs w:val="28"/>
        </w:rPr>
        <w:t>проведение мероприятий для детей и молодежи (гранты главы в рамках проекта технологического предпринимательства в сфере образования «ДАЙ 5»)</w:t>
      </w:r>
      <w:r w:rsidR="005B1412">
        <w:rPr>
          <w:sz w:val="28"/>
          <w:szCs w:val="28"/>
        </w:rPr>
        <w:t xml:space="preserve">; </w:t>
      </w:r>
    </w:p>
    <w:p w:rsidR="00342F61" w:rsidRDefault="00681290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b/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0801 «Культура»</w:t>
      </w:r>
      <w:r w:rsidRPr="00E62592">
        <w:rPr>
          <w:sz w:val="28"/>
          <w:szCs w:val="28"/>
        </w:rPr>
        <w:t xml:space="preserve"> </w:t>
      </w:r>
      <w:r w:rsidR="00905264" w:rsidRPr="00E62592">
        <w:rPr>
          <w:sz w:val="28"/>
          <w:szCs w:val="28"/>
        </w:rPr>
        <w:t xml:space="preserve">- </w:t>
      </w:r>
      <w:r w:rsidR="00EC68C1">
        <w:rPr>
          <w:sz w:val="28"/>
          <w:szCs w:val="28"/>
        </w:rPr>
        <w:t>бюджет</w:t>
      </w:r>
      <w:r w:rsidRPr="00E62592">
        <w:rPr>
          <w:sz w:val="28"/>
          <w:szCs w:val="28"/>
        </w:rPr>
        <w:t xml:space="preserve"> уточнен за счет дополнительных </w:t>
      </w:r>
      <w:r w:rsidR="008873CF" w:rsidRPr="00E62592">
        <w:rPr>
          <w:sz w:val="28"/>
          <w:szCs w:val="28"/>
        </w:rPr>
        <w:t xml:space="preserve">поступлений из республиканского бюджета: </w:t>
      </w:r>
    </w:p>
    <w:p w:rsidR="00342F61" w:rsidRDefault="008873CF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sz w:val="28"/>
          <w:szCs w:val="28"/>
        </w:rPr>
        <w:t>- на поощрение лучшего работника учреждения культуры;</w:t>
      </w:r>
    </w:p>
    <w:p w:rsidR="00342F61" w:rsidRDefault="00342F61" w:rsidP="00342F61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549" w:rsidRPr="00E62592">
        <w:rPr>
          <w:sz w:val="28"/>
          <w:szCs w:val="28"/>
        </w:rPr>
        <w:t xml:space="preserve"> - на поощрение лучшего учреждения культуры; </w:t>
      </w:r>
      <w:r w:rsidR="008873CF" w:rsidRPr="00E62592">
        <w:rPr>
          <w:sz w:val="28"/>
          <w:szCs w:val="28"/>
        </w:rPr>
        <w:t xml:space="preserve"> </w:t>
      </w:r>
    </w:p>
    <w:p w:rsidR="00342F61" w:rsidRDefault="00342F61" w:rsidP="00342F61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3CF" w:rsidRPr="00E62592">
        <w:rPr>
          <w:sz w:val="28"/>
          <w:szCs w:val="28"/>
        </w:rPr>
        <w:t xml:space="preserve">дополнительных </w:t>
      </w:r>
      <w:r w:rsidR="00681290" w:rsidRPr="00E62592">
        <w:rPr>
          <w:sz w:val="28"/>
          <w:szCs w:val="28"/>
        </w:rPr>
        <w:t>доходов</w:t>
      </w:r>
      <w:r w:rsidR="008873CF" w:rsidRPr="00E62592">
        <w:rPr>
          <w:sz w:val="28"/>
          <w:szCs w:val="28"/>
        </w:rPr>
        <w:t xml:space="preserve"> местного бюджета</w:t>
      </w:r>
      <w:r w:rsidR="005B1412">
        <w:rPr>
          <w:sz w:val="28"/>
          <w:szCs w:val="28"/>
        </w:rPr>
        <w:t xml:space="preserve">: </w:t>
      </w:r>
    </w:p>
    <w:p w:rsidR="00342F61" w:rsidRDefault="00342F61" w:rsidP="00342F61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412">
        <w:rPr>
          <w:sz w:val="28"/>
          <w:szCs w:val="28"/>
        </w:rPr>
        <w:t>-</w:t>
      </w:r>
      <w:r w:rsidR="00681290" w:rsidRPr="00E62592">
        <w:rPr>
          <w:sz w:val="28"/>
          <w:szCs w:val="28"/>
        </w:rPr>
        <w:t xml:space="preserve"> на проведение </w:t>
      </w:r>
      <w:r w:rsidR="005B1412" w:rsidRPr="005D3622">
        <w:rPr>
          <w:sz w:val="28"/>
          <w:szCs w:val="28"/>
        </w:rPr>
        <w:t>конкурса "Звени родник души моей"</w:t>
      </w:r>
      <w:r w:rsidR="005B1412">
        <w:rPr>
          <w:sz w:val="28"/>
          <w:szCs w:val="28"/>
        </w:rPr>
        <w:t xml:space="preserve">; </w:t>
      </w:r>
    </w:p>
    <w:p w:rsidR="00B23C21" w:rsidRPr="00E62592" w:rsidRDefault="00342F61" w:rsidP="00342F61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412">
        <w:rPr>
          <w:sz w:val="28"/>
          <w:szCs w:val="28"/>
        </w:rPr>
        <w:t xml:space="preserve">- на проведение </w:t>
      </w:r>
      <w:r w:rsidR="002C4208" w:rsidRPr="00E62592">
        <w:rPr>
          <w:sz w:val="28"/>
          <w:szCs w:val="28"/>
        </w:rPr>
        <w:t>культурно-массовых мероприятий;</w:t>
      </w:r>
    </w:p>
    <w:p w:rsidR="00342F61" w:rsidRDefault="00317D7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EC68C1">
        <w:rPr>
          <w:b/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1003 «Социальное обеспечение населения»</w:t>
      </w:r>
      <w:r w:rsidRPr="00EC68C1">
        <w:rPr>
          <w:sz w:val="28"/>
          <w:szCs w:val="28"/>
        </w:rPr>
        <w:t xml:space="preserve"> - за счет дополнительных поступлений </w:t>
      </w:r>
      <w:r w:rsidR="006932F5" w:rsidRPr="00EC68C1">
        <w:rPr>
          <w:sz w:val="28"/>
          <w:szCs w:val="28"/>
        </w:rPr>
        <w:t>из федерального и республиканского бюджетов в виде субсидий на обеспечение жильем молодых семей и молодых специалистов</w:t>
      </w:r>
      <w:r w:rsidR="00615361" w:rsidRPr="00EC68C1">
        <w:rPr>
          <w:sz w:val="28"/>
          <w:szCs w:val="28"/>
        </w:rPr>
        <w:t>,</w:t>
      </w:r>
      <w:r w:rsidR="006932F5" w:rsidRPr="00EC68C1">
        <w:rPr>
          <w:sz w:val="28"/>
          <w:szCs w:val="28"/>
        </w:rPr>
        <w:t xml:space="preserve"> проживающих в сельской местности</w:t>
      </w:r>
      <w:r w:rsidR="005E2549" w:rsidRPr="00EC68C1">
        <w:rPr>
          <w:sz w:val="28"/>
          <w:szCs w:val="28"/>
        </w:rPr>
        <w:t xml:space="preserve">; </w:t>
      </w:r>
      <w:proofErr w:type="gramEnd"/>
    </w:p>
    <w:p w:rsidR="006932F5" w:rsidRPr="00EC68C1" w:rsidRDefault="00342F61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E2549" w:rsidRPr="00EC68C1">
        <w:rPr>
          <w:sz w:val="28"/>
          <w:szCs w:val="28"/>
        </w:rPr>
        <w:t>за счет дополнительных доходов местного бюджета</w:t>
      </w:r>
      <w:r>
        <w:rPr>
          <w:sz w:val="28"/>
          <w:szCs w:val="28"/>
        </w:rPr>
        <w:t>:</w:t>
      </w:r>
      <w:r w:rsidR="005E2549" w:rsidRPr="00EC68C1">
        <w:rPr>
          <w:sz w:val="28"/>
          <w:szCs w:val="28"/>
        </w:rPr>
        <w:t xml:space="preserve"> на оказание мер социальной поддержки отдельны</w:t>
      </w:r>
      <w:r w:rsidR="00E21D11">
        <w:rPr>
          <w:sz w:val="28"/>
          <w:szCs w:val="28"/>
        </w:rPr>
        <w:t>м</w:t>
      </w:r>
      <w:r w:rsidR="005E2549" w:rsidRPr="00EC68C1">
        <w:rPr>
          <w:sz w:val="28"/>
          <w:szCs w:val="28"/>
        </w:rPr>
        <w:t xml:space="preserve"> категори</w:t>
      </w:r>
      <w:r w:rsidR="00E21D11">
        <w:rPr>
          <w:sz w:val="28"/>
          <w:szCs w:val="28"/>
        </w:rPr>
        <w:t>ям</w:t>
      </w:r>
      <w:r w:rsidR="005E2549" w:rsidRPr="00EC68C1">
        <w:rPr>
          <w:sz w:val="28"/>
          <w:szCs w:val="28"/>
        </w:rPr>
        <w:t xml:space="preserve"> </w:t>
      </w:r>
      <w:r w:rsidR="00E21D11">
        <w:rPr>
          <w:sz w:val="28"/>
          <w:szCs w:val="28"/>
        </w:rPr>
        <w:t xml:space="preserve">граждан – почетным гражданам, вдовам погибших военнослужащих, персональным пенсионерам, приемным семьям, одиноким гражданам и одиноким супружеским парам, являющимся инвалидами 1 и 2 групп, гражданам, попавшим в трудную жизненную ситуацию; приобретение новогодних </w:t>
      </w:r>
      <w:r w:rsidR="001B1114">
        <w:rPr>
          <w:sz w:val="28"/>
          <w:szCs w:val="28"/>
        </w:rPr>
        <w:t>подарков для детей работников бюджетной сферы, детей-инвалидов, детей, относящихся к социально-незащищенным категориям граждан</w:t>
      </w:r>
      <w:r w:rsidR="005E2549" w:rsidRPr="00EC68C1">
        <w:rPr>
          <w:sz w:val="28"/>
          <w:szCs w:val="28"/>
        </w:rPr>
        <w:t>;</w:t>
      </w:r>
      <w:proofErr w:type="gramEnd"/>
    </w:p>
    <w:p w:rsidR="005E2549" w:rsidRPr="00E62592" w:rsidRDefault="005E2549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1102 «Массовый спорт»</w:t>
      </w:r>
      <w:r w:rsidRPr="00E62592">
        <w:rPr>
          <w:sz w:val="28"/>
          <w:szCs w:val="28"/>
        </w:rPr>
        <w:t xml:space="preserve"> - за счет дополнительных доходов местного бюджета на  проведение спортивно-массовых мероприятий;</w:t>
      </w:r>
    </w:p>
    <w:p w:rsidR="005E2549" w:rsidRPr="00E62592" w:rsidRDefault="005E2549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E62592">
        <w:rPr>
          <w:sz w:val="28"/>
          <w:szCs w:val="28"/>
        </w:rPr>
        <w:t xml:space="preserve">- </w:t>
      </w:r>
      <w:r w:rsidRPr="00342F61">
        <w:rPr>
          <w:sz w:val="28"/>
          <w:szCs w:val="28"/>
          <w:u w:val="single"/>
        </w:rPr>
        <w:t>по разделу 1202 «Средства массовой информации»</w:t>
      </w:r>
      <w:r w:rsidRPr="00E62592">
        <w:rPr>
          <w:sz w:val="28"/>
          <w:szCs w:val="28"/>
        </w:rPr>
        <w:t xml:space="preserve"> - за счет остатков прошлого года и дополнительных доходов местного бюджета </w:t>
      </w:r>
      <w:r w:rsidR="00E65CFD" w:rsidRPr="00E62592">
        <w:rPr>
          <w:sz w:val="28"/>
          <w:szCs w:val="28"/>
        </w:rPr>
        <w:t xml:space="preserve"> расходы на содержание МБУ «Редакция газеты «</w:t>
      </w:r>
      <w:proofErr w:type="spellStart"/>
      <w:r w:rsidR="00E65CFD" w:rsidRPr="00E62592">
        <w:rPr>
          <w:sz w:val="28"/>
          <w:szCs w:val="28"/>
        </w:rPr>
        <w:t>Альметьевский</w:t>
      </w:r>
      <w:proofErr w:type="spellEnd"/>
      <w:r w:rsidR="00E65CFD" w:rsidRPr="00E62592">
        <w:rPr>
          <w:sz w:val="28"/>
          <w:szCs w:val="28"/>
        </w:rPr>
        <w:t xml:space="preserve"> вестник».</w:t>
      </w:r>
    </w:p>
    <w:p w:rsidR="003C6670" w:rsidRPr="00DB0241" w:rsidRDefault="00416F94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По результатам внешней проверки годовой бюджетной отчетности главных администраторов бюджетных средств за 20</w:t>
      </w:r>
      <w:r w:rsidR="00ED0E5E" w:rsidRPr="00DB0241">
        <w:rPr>
          <w:sz w:val="28"/>
          <w:szCs w:val="28"/>
        </w:rPr>
        <w:t>1</w:t>
      </w:r>
      <w:r w:rsidR="007E5205">
        <w:rPr>
          <w:sz w:val="28"/>
          <w:szCs w:val="28"/>
        </w:rPr>
        <w:t>6</w:t>
      </w:r>
      <w:r w:rsidRPr="00DB0241">
        <w:rPr>
          <w:sz w:val="28"/>
          <w:szCs w:val="28"/>
        </w:rPr>
        <w:t xml:space="preserve"> год установлено: </w:t>
      </w:r>
    </w:p>
    <w:p w:rsidR="003C6670" w:rsidRPr="00DB0241" w:rsidRDefault="003C6670" w:rsidP="00827310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● доходы районного бюджета составили </w:t>
      </w:r>
      <w:r w:rsidR="00C624D4">
        <w:rPr>
          <w:sz w:val="28"/>
          <w:szCs w:val="28"/>
        </w:rPr>
        <w:t>3</w:t>
      </w:r>
      <w:r w:rsidR="007E5205">
        <w:rPr>
          <w:sz w:val="28"/>
          <w:szCs w:val="28"/>
        </w:rPr>
        <w:t> 765 368</w:t>
      </w:r>
      <w:r w:rsidR="009D52EE">
        <w:rPr>
          <w:sz w:val="28"/>
          <w:szCs w:val="28"/>
        </w:rPr>
        <w:t>,</w:t>
      </w:r>
      <w:r w:rsidR="007E5205">
        <w:rPr>
          <w:sz w:val="28"/>
          <w:szCs w:val="28"/>
        </w:rPr>
        <w:t>9</w:t>
      </w:r>
      <w:r w:rsidR="00162F00" w:rsidRPr="00DB0241">
        <w:rPr>
          <w:sz w:val="28"/>
          <w:szCs w:val="28"/>
        </w:rPr>
        <w:t xml:space="preserve"> тыс. рублей</w:t>
      </w:r>
      <w:r w:rsidR="009C335D" w:rsidRPr="00DB0241">
        <w:rPr>
          <w:sz w:val="28"/>
          <w:szCs w:val="28"/>
        </w:rPr>
        <w:t>,</w:t>
      </w:r>
      <w:r w:rsidRPr="00DB0241">
        <w:rPr>
          <w:sz w:val="28"/>
          <w:szCs w:val="28"/>
        </w:rPr>
        <w:t xml:space="preserve"> в том числе:</w:t>
      </w:r>
    </w:p>
    <w:p w:rsidR="003C6670" w:rsidRPr="00DB0241" w:rsidRDefault="00162F00" w:rsidP="00827310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 </w:t>
      </w:r>
      <w:r w:rsidR="003C6670" w:rsidRPr="00DB0241">
        <w:rPr>
          <w:sz w:val="28"/>
          <w:szCs w:val="28"/>
        </w:rPr>
        <w:t xml:space="preserve">- </w:t>
      </w:r>
      <w:r w:rsidRPr="00DB0241">
        <w:rPr>
          <w:sz w:val="28"/>
          <w:szCs w:val="28"/>
        </w:rPr>
        <w:t xml:space="preserve">налоговые доходы – </w:t>
      </w:r>
      <w:r w:rsidR="00B9721F">
        <w:rPr>
          <w:sz w:val="28"/>
          <w:szCs w:val="28"/>
        </w:rPr>
        <w:t xml:space="preserve"> </w:t>
      </w:r>
      <w:r w:rsidR="00EA778D">
        <w:rPr>
          <w:sz w:val="28"/>
          <w:szCs w:val="28"/>
        </w:rPr>
        <w:t>804 422,0</w:t>
      </w:r>
      <w:r w:rsidR="00ED085F" w:rsidRPr="00DB0241">
        <w:rPr>
          <w:sz w:val="28"/>
          <w:szCs w:val="28"/>
        </w:rPr>
        <w:t xml:space="preserve">  </w:t>
      </w:r>
      <w:r w:rsidR="003C6670" w:rsidRPr="00DB0241">
        <w:rPr>
          <w:sz w:val="28"/>
          <w:szCs w:val="28"/>
        </w:rPr>
        <w:t>тыс. руб</w:t>
      </w:r>
      <w:r w:rsidR="00827310">
        <w:rPr>
          <w:sz w:val="28"/>
          <w:szCs w:val="28"/>
        </w:rPr>
        <w:t>.</w:t>
      </w:r>
      <w:r w:rsidR="003C6670" w:rsidRPr="00DB0241">
        <w:rPr>
          <w:sz w:val="28"/>
          <w:szCs w:val="28"/>
        </w:rPr>
        <w:t>;</w:t>
      </w:r>
    </w:p>
    <w:p w:rsidR="003C6670" w:rsidRPr="00DB0241" w:rsidRDefault="003C6670" w:rsidP="00827310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lastRenderedPageBreak/>
        <w:t>-</w:t>
      </w:r>
      <w:r w:rsidR="00162F00" w:rsidRPr="00DB0241">
        <w:rPr>
          <w:sz w:val="28"/>
          <w:szCs w:val="28"/>
        </w:rPr>
        <w:t xml:space="preserve"> неналоговые доходы –</w:t>
      </w:r>
      <w:r w:rsidR="00602BB4" w:rsidRPr="00DB0241">
        <w:rPr>
          <w:sz w:val="28"/>
          <w:szCs w:val="28"/>
        </w:rPr>
        <w:t xml:space="preserve"> </w:t>
      </w:r>
      <w:r w:rsidR="009A46E9" w:rsidRPr="00DB0241">
        <w:rPr>
          <w:sz w:val="28"/>
          <w:szCs w:val="28"/>
        </w:rPr>
        <w:t xml:space="preserve"> </w:t>
      </w:r>
      <w:r w:rsidR="00EA778D">
        <w:rPr>
          <w:sz w:val="28"/>
          <w:szCs w:val="28"/>
        </w:rPr>
        <w:t>161 717,3</w:t>
      </w:r>
      <w:r w:rsidR="009A46E9" w:rsidRPr="00DB0241">
        <w:rPr>
          <w:sz w:val="28"/>
          <w:szCs w:val="28"/>
        </w:rPr>
        <w:t xml:space="preserve">  </w:t>
      </w:r>
      <w:r w:rsidRPr="00DB0241">
        <w:rPr>
          <w:sz w:val="28"/>
          <w:szCs w:val="28"/>
        </w:rPr>
        <w:t>тыс. руб</w:t>
      </w:r>
      <w:r w:rsidR="00827310">
        <w:rPr>
          <w:sz w:val="28"/>
          <w:szCs w:val="28"/>
        </w:rPr>
        <w:t>.</w:t>
      </w:r>
      <w:r w:rsidRPr="00DB0241">
        <w:rPr>
          <w:sz w:val="28"/>
          <w:szCs w:val="28"/>
        </w:rPr>
        <w:t>;</w:t>
      </w:r>
    </w:p>
    <w:p w:rsidR="00CC01D4" w:rsidRPr="00DB0241" w:rsidRDefault="003C6670" w:rsidP="00827310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 xml:space="preserve">- </w:t>
      </w:r>
      <w:r w:rsidR="00162F00" w:rsidRPr="00DB0241">
        <w:rPr>
          <w:sz w:val="28"/>
          <w:szCs w:val="28"/>
        </w:rPr>
        <w:t xml:space="preserve">безвозмездные поступления </w:t>
      </w:r>
      <w:r w:rsidR="009B0EFA">
        <w:rPr>
          <w:sz w:val="28"/>
          <w:szCs w:val="28"/>
        </w:rPr>
        <w:t xml:space="preserve">– </w:t>
      </w:r>
      <w:r w:rsidR="00EA778D">
        <w:rPr>
          <w:sz w:val="28"/>
          <w:szCs w:val="28"/>
        </w:rPr>
        <w:t>2 799 229,7</w:t>
      </w:r>
      <w:r w:rsidR="009B0EFA">
        <w:rPr>
          <w:sz w:val="28"/>
          <w:szCs w:val="28"/>
        </w:rPr>
        <w:t xml:space="preserve"> </w:t>
      </w:r>
      <w:proofErr w:type="spellStart"/>
      <w:r w:rsidR="009B0EFA">
        <w:rPr>
          <w:sz w:val="28"/>
          <w:szCs w:val="28"/>
        </w:rPr>
        <w:t>тыс</w:t>
      </w:r>
      <w:proofErr w:type="gramStart"/>
      <w:r w:rsidR="009B0EFA">
        <w:rPr>
          <w:sz w:val="28"/>
          <w:szCs w:val="28"/>
        </w:rPr>
        <w:t>.р</w:t>
      </w:r>
      <w:proofErr w:type="gramEnd"/>
      <w:r w:rsidR="009B0EFA"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 w:rsidR="009B0EFA">
        <w:rPr>
          <w:sz w:val="28"/>
          <w:szCs w:val="28"/>
        </w:rPr>
        <w:t>;</w:t>
      </w:r>
    </w:p>
    <w:p w:rsidR="00162F00" w:rsidRPr="00DB0241" w:rsidRDefault="003C6670" w:rsidP="00827310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B0241">
        <w:rPr>
          <w:sz w:val="28"/>
          <w:szCs w:val="28"/>
        </w:rPr>
        <w:t>● расходы бюджета составили</w:t>
      </w:r>
      <w:r w:rsidR="001B1114">
        <w:rPr>
          <w:sz w:val="28"/>
          <w:szCs w:val="28"/>
        </w:rPr>
        <w:t xml:space="preserve"> </w:t>
      </w:r>
      <w:r w:rsidR="00162F00" w:rsidRPr="00DB0241">
        <w:rPr>
          <w:sz w:val="28"/>
          <w:szCs w:val="28"/>
        </w:rPr>
        <w:t xml:space="preserve"> </w:t>
      </w:r>
      <w:r w:rsidR="001B1114">
        <w:rPr>
          <w:sz w:val="28"/>
          <w:szCs w:val="28"/>
        </w:rPr>
        <w:t>-</w:t>
      </w:r>
      <w:r w:rsidR="00826F97" w:rsidRPr="00DB0241">
        <w:rPr>
          <w:sz w:val="28"/>
          <w:szCs w:val="28"/>
        </w:rPr>
        <w:t xml:space="preserve">  </w:t>
      </w:r>
      <w:r w:rsidR="00EA778D">
        <w:rPr>
          <w:sz w:val="28"/>
          <w:szCs w:val="28"/>
        </w:rPr>
        <w:t>3 646 948,9</w:t>
      </w:r>
      <w:r w:rsidR="001C5F29" w:rsidRPr="00DB0241">
        <w:rPr>
          <w:sz w:val="28"/>
          <w:szCs w:val="28"/>
        </w:rPr>
        <w:t xml:space="preserve"> тыс. руб</w:t>
      </w:r>
      <w:r w:rsidR="00827310">
        <w:rPr>
          <w:sz w:val="28"/>
          <w:szCs w:val="28"/>
        </w:rPr>
        <w:t>.</w:t>
      </w:r>
      <w:r w:rsidR="001C5F29" w:rsidRPr="00DB0241">
        <w:rPr>
          <w:sz w:val="28"/>
          <w:szCs w:val="28"/>
        </w:rPr>
        <w:t>;</w:t>
      </w:r>
    </w:p>
    <w:p w:rsidR="002D0716" w:rsidRPr="00DB0241" w:rsidRDefault="001C5F29" w:rsidP="00827310">
      <w:pPr>
        <w:pStyle w:val="20"/>
        <w:spacing w:after="0" w:line="276" w:lineRule="auto"/>
        <w:ind w:left="0" w:firstLine="720"/>
        <w:jc w:val="both"/>
        <w:rPr>
          <w:color w:val="FF0000"/>
          <w:sz w:val="28"/>
          <w:szCs w:val="28"/>
        </w:rPr>
      </w:pPr>
      <w:r w:rsidRPr="00DB0241">
        <w:rPr>
          <w:sz w:val="28"/>
          <w:szCs w:val="28"/>
        </w:rPr>
        <w:t xml:space="preserve">● </w:t>
      </w:r>
      <w:r w:rsidR="00B9721F">
        <w:rPr>
          <w:sz w:val="28"/>
          <w:szCs w:val="28"/>
        </w:rPr>
        <w:t>профицит</w:t>
      </w:r>
      <w:r w:rsidR="002D0716" w:rsidRPr="00DB0241">
        <w:rPr>
          <w:sz w:val="28"/>
          <w:szCs w:val="28"/>
        </w:rPr>
        <w:t xml:space="preserve"> бюджета составил</w:t>
      </w:r>
      <w:r w:rsidR="00D517FA" w:rsidRPr="00DB0241">
        <w:rPr>
          <w:sz w:val="28"/>
          <w:szCs w:val="28"/>
        </w:rPr>
        <w:t xml:space="preserve">  </w:t>
      </w:r>
      <w:r w:rsidR="001B1114">
        <w:rPr>
          <w:sz w:val="28"/>
          <w:szCs w:val="28"/>
        </w:rPr>
        <w:t>-</w:t>
      </w:r>
      <w:r w:rsidR="00D517FA" w:rsidRPr="00DB0241">
        <w:rPr>
          <w:sz w:val="28"/>
          <w:szCs w:val="28"/>
        </w:rPr>
        <w:t xml:space="preserve"> </w:t>
      </w:r>
      <w:r w:rsidR="002D0716" w:rsidRPr="00DB0241">
        <w:rPr>
          <w:sz w:val="28"/>
          <w:szCs w:val="28"/>
        </w:rPr>
        <w:t xml:space="preserve"> </w:t>
      </w:r>
      <w:r w:rsidR="00EA778D">
        <w:rPr>
          <w:sz w:val="28"/>
          <w:szCs w:val="28"/>
        </w:rPr>
        <w:t xml:space="preserve">118 420,0 </w:t>
      </w:r>
      <w:r w:rsidR="002D0716" w:rsidRPr="00DB0241">
        <w:rPr>
          <w:sz w:val="28"/>
          <w:szCs w:val="28"/>
        </w:rPr>
        <w:t xml:space="preserve"> тыс. руб. </w:t>
      </w:r>
    </w:p>
    <w:p w:rsidR="00DA24D4" w:rsidRDefault="00185F4E" w:rsidP="003F2EB2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 201</w:t>
      </w:r>
      <w:r w:rsidR="00EA778D">
        <w:rPr>
          <w:sz w:val="28"/>
          <w:szCs w:val="28"/>
        </w:rPr>
        <w:t>6</w:t>
      </w:r>
      <w:r w:rsidRPr="00DA24D4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</w:t>
      </w:r>
      <w:r w:rsidR="00AF3166" w:rsidRPr="00DA24D4">
        <w:rPr>
          <w:sz w:val="28"/>
          <w:szCs w:val="28"/>
        </w:rPr>
        <w:t>;</w:t>
      </w:r>
      <w:r w:rsidRPr="00DA24D4">
        <w:rPr>
          <w:sz w:val="28"/>
          <w:szCs w:val="28"/>
        </w:rPr>
        <w:t xml:space="preserve"> кредиты, льготы, отсрочки по налогам за 201</w:t>
      </w:r>
      <w:r w:rsidR="00EA778D">
        <w:rPr>
          <w:sz w:val="28"/>
          <w:szCs w:val="28"/>
        </w:rPr>
        <w:t>6</w:t>
      </w:r>
      <w:r w:rsidRPr="00DA24D4">
        <w:rPr>
          <w:sz w:val="28"/>
          <w:szCs w:val="28"/>
        </w:rPr>
        <w:t xml:space="preserve"> год не предоставлялись. </w:t>
      </w:r>
    </w:p>
    <w:p w:rsidR="00BC176D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DA24D4">
        <w:rPr>
          <w:sz w:val="28"/>
          <w:szCs w:val="28"/>
        </w:rPr>
        <w:t>Выдача муниципальных гарантий не предусматривалась, муниципальные гарантии за 20</w:t>
      </w:r>
      <w:r w:rsidR="002A6BA9" w:rsidRPr="00DA24D4">
        <w:rPr>
          <w:sz w:val="28"/>
          <w:szCs w:val="28"/>
        </w:rPr>
        <w:t>1</w:t>
      </w:r>
      <w:r w:rsidR="00EA778D">
        <w:rPr>
          <w:sz w:val="28"/>
          <w:szCs w:val="28"/>
        </w:rPr>
        <w:t>6</w:t>
      </w:r>
      <w:r w:rsidRPr="00DA24D4">
        <w:rPr>
          <w:sz w:val="28"/>
          <w:szCs w:val="28"/>
        </w:rPr>
        <w:t xml:space="preserve"> год не предоставлялись.</w:t>
      </w:r>
    </w:p>
    <w:p w:rsidR="00185F4E" w:rsidRPr="00AA1E34" w:rsidRDefault="00185F4E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AA1E34">
        <w:rPr>
          <w:sz w:val="28"/>
          <w:szCs w:val="28"/>
        </w:rPr>
        <w:t xml:space="preserve">Решением Совета Альметьевского муниципального района от </w:t>
      </w:r>
      <w:r w:rsidR="00D93412" w:rsidRPr="00AA1E34">
        <w:rPr>
          <w:sz w:val="28"/>
          <w:szCs w:val="28"/>
        </w:rPr>
        <w:t>1</w:t>
      </w:r>
      <w:r w:rsidR="00EA778D" w:rsidRPr="00AA1E34">
        <w:rPr>
          <w:sz w:val="28"/>
          <w:szCs w:val="28"/>
        </w:rPr>
        <w:t>0</w:t>
      </w:r>
      <w:r w:rsidRPr="00AA1E34">
        <w:rPr>
          <w:sz w:val="28"/>
          <w:szCs w:val="28"/>
        </w:rPr>
        <w:t>.12.20</w:t>
      </w:r>
      <w:r w:rsidR="00C16507" w:rsidRPr="00AA1E34">
        <w:rPr>
          <w:sz w:val="28"/>
          <w:szCs w:val="28"/>
        </w:rPr>
        <w:t>1</w:t>
      </w:r>
      <w:r w:rsidR="00EA778D" w:rsidRPr="00AA1E34">
        <w:rPr>
          <w:sz w:val="28"/>
          <w:szCs w:val="28"/>
        </w:rPr>
        <w:t>5</w:t>
      </w:r>
      <w:r w:rsidRPr="00AA1E34">
        <w:rPr>
          <w:sz w:val="28"/>
          <w:szCs w:val="28"/>
        </w:rPr>
        <w:t>г. № </w:t>
      </w:r>
      <w:r w:rsidR="00EA778D" w:rsidRPr="00AA1E34">
        <w:rPr>
          <w:sz w:val="28"/>
          <w:szCs w:val="28"/>
        </w:rPr>
        <w:t>24</w:t>
      </w:r>
      <w:r w:rsidRPr="00AA1E34">
        <w:rPr>
          <w:sz w:val="28"/>
          <w:szCs w:val="28"/>
        </w:rPr>
        <w:t xml:space="preserve"> верхний предел муниципального долга на 01.01.201</w:t>
      </w:r>
      <w:r w:rsidR="00AA1E34" w:rsidRPr="00AA1E34">
        <w:rPr>
          <w:sz w:val="28"/>
          <w:szCs w:val="28"/>
        </w:rPr>
        <w:t>7</w:t>
      </w:r>
      <w:r w:rsidR="005E782F" w:rsidRPr="00AA1E34">
        <w:rPr>
          <w:sz w:val="28"/>
          <w:szCs w:val="28"/>
        </w:rPr>
        <w:t>г.</w:t>
      </w:r>
      <w:r w:rsidRPr="00AA1E34">
        <w:rPr>
          <w:sz w:val="28"/>
          <w:szCs w:val="28"/>
        </w:rPr>
        <w:t xml:space="preserve"> по долговым обязательствам Альметьевского муниципального района установлен в размере </w:t>
      </w:r>
      <w:r w:rsidR="00EA778D" w:rsidRPr="00AA1E34">
        <w:rPr>
          <w:sz w:val="28"/>
          <w:szCs w:val="28"/>
        </w:rPr>
        <w:t xml:space="preserve">0 </w:t>
      </w:r>
      <w:r w:rsidR="001B1114">
        <w:rPr>
          <w:sz w:val="28"/>
          <w:szCs w:val="28"/>
        </w:rPr>
        <w:t xml:space="preserve"> рублей. </w:t>
      </w:r>
      <w:r w:rsidRPr="00AA1E34">
        <w:rPr>
          <w:sz w:val="28"/>
          <w:szCs w:val="28"/>
        </w:rPr>
        <w:t>По состоянию на 01.01.201</w:t>
      </w:r>
      <w:r w:rsidR="00AA1E34" w:rsidRPr="00AA1E34">
        <w:rPr>
          <w:sz w:val="28"/>
          <w:szCs w:val="28"/>
        </w:rPr>
        <w:t>7</w:t>
      </w:r>
      <w:r w:rsidR="00902E85" w:rsidRPr="00AA1E34">
        <w:rPr>
          <w:sz w:val="28"/>
          <w:szCs w:val="28"/>
        </w:rPr>
        <w:t xml:space="preserve">г. </w:t>
      </w:r>
      <w:r w:rsidRPr="00AA1E34">
        <w:rPr>
          <w:sz w:val="28"/>
          <w:szCs w:val="28"/>
        </w:rPr>
        <w:t xml:space="preserve"> фактический объем муниципального долга составляет </w:t>
      </w:r>
      <w:r w:rsidR="00EA778D" w:rsidRPr="00AA1E34">
        <w:rPr>
          <w:sz w:val="28"/>
          <w:szCs w:val="28"/>
        </w:rPr>
        <w:t>0</w:t>
      </w:r>
      <w:r w:rsidRPr="00AA1E34">
        <w:rPr>
          <w:sz w:val="28"/>
          <w:szCs w:val="28"/>
        </w:rPr>
        <w:t xml:space="preserve">  рублей</w:t>
      </w:r>
      <w:r w:rsidR="00713E80" w:rsidRPr="00AA1E34">
        <w:rPr>
          <w:sz w:val="28"/>
          <w:szCs w:val="28"/>
        </w:rPr>
        <w:t>.</w:t>
      </w:r>
    </w:p>
    <w:p w:rsidR="004B5B93" w:rsidRPr="0002524C" w:rsidRDefault="004B5B93" w:rsidP="004B5B93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2524C">
        <w:rPr>
          <w:sz w:val="28"/>
          <w:szCs w:val="28"/>
        </w:rPr>
        <w:t xml:space="preserve">Привлечение дополнительных кредитных средств </w:t>
      </w:r>
      <w:r w:rsidR="00EA778D">
        <w:rPr>
          <w:sz w:val="28"/>
          <w:szCs w:val="28"/>
        </w:rPr>
        <w:t>не предусмотрено.</w:t>
      </w:r>
    </w:p>
    <w:p w:rsidR="00AE4D8B" w:rsidRDefault="00AE4D8B" w:rsidP="00BC176D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C45381">
        <w:rPr>
          <w:sz w:val="28"/>
          <w:szCs w:val="28"/>
        </w:rPr>
        <w:t>Программа муниципальных заимствований на 201</w:t>
      </w:r>
      <w:r w:rsidR="00EA778D">
        <w:rPr>
          <w:sz w:val="28"/>
          <w:szCs w:val="28"/>
        </w:rPr>
        <w:t>6</w:t>
      </w:r>
      <w:r w:rsidRPr="00C45381">
        <w:rPr>
          <w:sz w:val="28"/>
          <w:szCs w:val="28"/>
        </w:rPr>
        <w:t xml:space="preserve"> год </w:t>
      </w:r>
      <w:r w:rsidRPr="002A6BA9">
        <w:rPr>
          <w:sz w:val="28"/>
          <w:szCs w:val="28"/>
        </w:rPr>
        <w:t xml:space="preserve">Решением Совета Альметьевского муниципального района от </w:t>
      </w:r>
      <w:r>
        <w:rPr>
          <w:sz w:val="28"/>
          <w:szCs w:val="28"/>
        </w:rPr>
        <w:t>1</w:t>
      </w:r>
      <w:r w:rsidR="00EA778D">
        <w:rPr>
          <w:sz w:val="28"/>
          <w:szCs w:val="28"/>
        </w:rPr>
        <w:t>0</w:t>
      </w:r>
      <w:r w:rsidRPr="002A6BA9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EA778D">
        <w:rPr>
          <w:sz w:val="28"/>
          <w:szCs w:val="28"/>
        </w:rPr>
        <w:t>5</w:t>
      </w:r>
      <w:r w:rsidRPr="002A6BA9">
        <w:rPr>
          <w:sz w:val="28"/>
          <w:szCs w:val="28"/>
        </w:rPr>
        <w:t>г. № </w:t>
      </w:r>
      <w:r w:rsidR="00EA778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A1E34">
        <w:rPr>
          <w:sz w:val="28"/>
          <w:szCs w:val="28"/>
        </w:rPr>
        <w:t>не утверждалась.</w:t>
      </w:r>
    </w:p>
    <w:p w:rsidR="00185F4E" w:rsidRDefault="00C45381" w:rsidP="000B041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85F4E">
        <w:rPr>
          <w:sz w:val="28"/>
          <w:szCs w:val="28"/>
        </w:rPr>
        <w:t>По сравнению с аналогичным показателем</w:t>
      </w:r>
      <w:r w:rsidR="001658CD">
        <w:rPr>
          <w:sz w:val="28"/>
          <w:szCs w:val="28"/>
        </w:rPr>
        <w:t xml:space="preserve"> на 1 января 201</w:t>
      </w:r>
      <w:r w:rsidR="00AA1E34">
        <w:rPr>
          <w:sz w:val="28"/>
          <w:szCs w:val="28"/>
        </w:rPr>
        <w:t>6</w:t>
      </w:r>
      <w:r w:rsidR="001658CD">
        <w:rPr>
          <w:sz w:val="28"/>
          <w:szCs w:val="28"/>
        </w:rPr>
        <w:t xml:space="preserve"> года </w:t>
      </w:r>
      <w:r w:rsidR="00185F4E">
        <w:rPr>
          <w:sz w:val="28"/>
          <w:szCs w:val="28"/>
        </w:rPr>
        <w:t xml:space="preserve"> размер муниципального долга по состоянию на 1 января  201</w:t>
      </w:r>
      <w:r w:rsidR="00AA1E34">
        <w:rPr>
          <w:sz w:val="28"/>
          <w:szCs w:val="28"/>
        </w:rPr>
        <w:t>7</w:t>
      </w:r>
      <w:r w:rsidR="00185F4E">
        <w:rPr>
          <w:sz w:val="28"/>
          <w:szCs w:val="28"/>
        </w:rPr>
        <w:t xml:space="preserve"> года</w:t>
      </w:r>
      <w:r w:rsidR="003275A6">
        <w:rPr>
          <w:sz w:val="28"/>
          <w:szCs w:val="28"/>
        </w:rPr>
        <w:t xml:space="preserve"> </w:t>
      </w:r>
      <w:r w:rsidR="00AA1E34">
        <w:rPr>
          <w:sz w:val="28"/>
          <w:szCs w:val="28"/>
        </w:rPr>
        <w:t xml:space="preserve"> не </w:t>
      </w:r>
      <w:r w:rsidR="003275A6">
        <w:rPr>
          <w:sz w:val="28"/>
          <w:szCs w:val="28"/>
        </w:rPr>
        <w:t>изменился и составил 0 рублей</w:t>
      </w:r>
      <w:r w:rsidR="00185F4E">
        <w:rPr>
          <w:sz w:val="28"/>
          <w:szCs w:val="28"/>
        </w:rPr>
        <w:t>.</w:t>
      </w:r>
    </w:p>
    <w:p w:rsidR="00185F4E" w:rsidRDefault="00AA1E34" w:rsidP="00B51854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5F4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185F4E">
        <w:rPr>
          <w:sz w:val="28"/>
          <w:szCs w:val="28"/>
        </w:rPr>
        <w:t xml:space="preserve"> на обслуживание муниципального долга </w:t>
      </w:r>
      <w:r>
        <w:rPr>
          <w:sz w:val="28"/>
          <w:szCs w:val="28"/>
        </w:rPr>
        <w:t xml:space="preserve">в бюджете на 2016 год не предусматривались. </w:t>
      </w:r>
    </w:p>
    <w:p w:rsidR="004929DA" w:rsidRDefault="001B1114" w:rsidP="001B1114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</w:t>
      </w:r>
      <w:r w:rsidR="00363AEB" w:rsidRPr="00363AEB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Альметьевского муниципального района.</w:t>
      </w:r>
    </w:p>
    <w:p w:rsidR="00B51854" w:rsidRPr="00C276EE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5E29C8">
        <w:rPr>
          <w:sz w:val="28"/>
          <w:szCs w:val="28"/>
        </w:rPr>
        <w:t>Согласно Отчету об исполнении бюджета за 201</w:t>
      </w:r>
      <w:r w:rsidR="00AA1E34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год доходы бюджета Альметьевского муниципального района  в отчетном году составили </w:t>
      </w:r>
      <w:r w:rsidR="003B3B81">
        <w:rPr>
          <w:sz w:val="28"/>
          <w:szCs w:val="28"/>
        </w:rPr>
        <w:t>3 765 368,9</w:t>
      </w:r>
      <w:r w:rsidRPr="005E29C8">
        <w:rPr>
          <w:sz w:val="28"/>
          <w:szCs w:val="28"/>
        </w:rPr>
        <w:t xml:space="preserve">  тыс. рублей или </w:t>
      </w:r>
      <w:r w:rsidR="00F94118" w:rsidRPr="005E29C8">
        <w:rPr>
          <w:sz w:val="28"/>
          <w:szCs w:val="28"/>
        </w:rPr>
        <w:t xml:space="preserve"> </w:t>
      </w:r>
      <w:r w:rsidR="008E615A" w:rsidRPr="005E29C8">
        <w:rPr>
          <w:sz w:val="28"/>
          <w:szCs w:val="28"/>
        </w:rPr>
        <w:t>1</w:t>
      </w:r>
      <w:r w:rsidR="00C276EE">
        <w:rPr>
          <w:sz w:val="28"/>
          <w:szCs w:val="28"/>
        </w:rPr>
        <w:t>12,</w:t>
      </w:r>
      <w:r w:rsidR="003B3B81">
        <w:rPr>
          <w:sz w:val="28"/>
          <w:szCs w:val="28"/>
        </w:rPr>
        <w:t>4</w:t>
      </w:r>
      <w:r w:rsidR="00F94118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% от прогнозного показателя, утвержденного Решением Совета Альметьевского муниципального района </w:t>
      </w:r>
      <w:r w:rsidRPr="00C276EE">
        <w:rPr>
          <w:sz w:val="28"/>
          <w:szCs w:val="28"/>
        </w:rPr>
        <w:t>от 1</w:t>
      </w:r>
      <w:r w:rsidR="003B3B81">
        <w:rPr>
          <w:sz w:val="28"/>
          <w:szCs w:val="28"/>
        </w:rPr>
        <w:t>0</w:t>
      </w:r>
      <w:r w:rsidRPr="00C276EE">
        <w:rPr>
          <w:sz w:val="28"/>
          <w:szCs w:val="28"/>
        </w:rPr>
        <w:t>.12.201</w:t>
      </w:r>
      <w:r w:rsidR="003B3B81">
        <w:rPr>
          <w:sz w:val="28"/>
          <w:szCs w:val="28"/>
        </w:rPr>
        <w:t>5</w:t>
      </w:r>
      <w:r w:rsidRPr="00C276EE">
        <w:rPr>
          <w:sz w:val="28"/>
          <w:szCs w:val="28"/>
        </w:rPr>
        <w:t xml:space="preserve"> г.  № </w:t>
      </w:r>
      <w:r w:rsidR="003B3B81">
        <w:rPr>
          <w:sz w:val="28"/>
          <w:szCs w:val="28"/>
        </w:rPr>
        <w:t>24</w:t>
      </w:r>
      <w:r w:rsidRPr="00C276EE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«О бюджете Альметьевского муниципального района на 201</w:t>
      </w:r>
      <w:r w:rsidR="003B3B81">
        <w:rPr>
          <w:sz w:val="28"/>
          <w:szCs w:val="28"/>
        </w:rPr>
        <w:t>6</w:t>
      </w:r>
      <w:r w:rsidR="00F94118" w:rsidRPr="005E29C8">
        <w:rPr>
          <w:sz w:val="28"/>
          <w:szCs w:val="28"/>
        </w:rPr>
        <w:t xml:space="preserve"> год</w:t>
      </w:r>
      <w:r w:rsidRPr="005E29C8">
        <w:rPr>
          <w:sz w:val="28"/>
          <w:szCs w:val="28"/>
        </w:rPr>
        <w:t>»,</w:t>
      </w:r>
      <w:r w:rsidR="00A62E50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>что подтверждено в ходе внешней проверки, проведенной Контрольно-счетной палатой Альметьевского муниципального района.</w:t>
      </w:r>
      <w:proofErr w:type="gramEnd"/>
    </w:p>
    <w:p w:rsidR="0002524C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29C8">
        <w:rPr>
          <w:sz w:val="28"/>
          <w:szCs w:val="28"/>
        </w:rPr>
        <w:t xml:space="preserve">        В 201</w:t>
      </w:r>
      <w:r w:rsidR="003B3B81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году доходы бюджета Альметьевского муниципального района увеличились по сравнению с аналогичным показателем 201</w:t>
      </w:r>
      <w:r w:rsidR="003B3B81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года на </w:t>
      </w:r>
      <w:r w:rsidR="003B3B81">
        <w:rPr>
          <w:sz w:val="28"/>
          <w:szCs w:val="28"/>
        </w:rPr>
        <w:t>329 610,9</w:t>
      </w:r>
      <w:r w:rsidRPr="005E29C8">
        <w:rPr>
          <w:sz w:val="28"/>
          <w:szCs w:val="28"/>
        </w:rPr>
        <w:t xml:space="preserve">  тыс. руб</w:t>
      </w:r>
      <w:r w:rsidR="00827310">
        <w:rPr>
          <w:sz w:val="28"/>
          <w:szCs w:val="28"/>
        </w:rPr>
        <w:t>.</w:t>
      </w:r>
      <w:r w:rsidRPr="005E29C8">
        <w:rPr>
          <w:sz w:val="28"/>
          <w:szCs w:val="28"/>
        </w:rPr>
        <w:t xml:space="preserve"> или на </w:t>
      </w:r>
      <w:r w:rsidR="003B3B81">
        <w:rPr>
          <w:sz w:val="28"/>
          <w:szCs w:val="28"/>
        </w:rPr>
        <w:t>9,6</w:t>
      </w:r>
      <w:r w:rsidRPr="005E29C8">
        <w:rPr>
          <w:sz w:val="28"/>
          <w:szCs w:val="28"/>
        </w:rPr>
        <w:t>%.  Динамика исполнения доходов бюджета  Альметьевского муниципального района за 201</w:t>
      </w:r>
      <w:r w:rsidR="003B3B81">
        <w:rPr>
          <w:sz w:val="28"/>
          <w:szCs w:val="28"/>
        </w:rPr>
        <w:t>5</w:t>
      </w:r>
      <w:r w:rsidRPr="005E29C8">
        <w:rPr>
          <w:sz w:val="28"/>
          <w:szCs w:val="28"/>
        </w:rPr>
        <w:t>-201</w:t>
      </w:r>
      <w:r w:rsidR="003B3B81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годы  представлена на диаграмме 1. </w:t>
      </w:r>
    </w:p>
    <w:p w:rsidR="00C121C4" w:rsidRPr="005E29C8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5E29C8">
        <w:rPr>
          <w:sz w:val="28"/>
          <w:szCs w:val="28"/>
        </w:rPr>
        <w:t>Диаграмма 1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бюджета  Альметьевского муниципального района за 201</w:t>
      </w:r>
      <w:r w:rsidR="003B3B81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3B3B81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Default="001B111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C121C4">
        <w:rPr>
          <w:rFonts w:ascii="Times New Roman CYR" w:hAnsi="Times New Roman CYR" w:cs="Times New Roman CYR"/>
          <w:sz w:val="28"/>
          <w:szCs w:val="28"/>
        </w:rPr>
        <w:t>млн</w:t>
      </w:r>
      <w:proofErr w:type="gramStart"/>
      <w:r w:rsidR="00C121C4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C121C4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C121C4"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Pr="005E29C8" w:rsidRDefault="0084394E" w:rsidP="001226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650557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21C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121C4" w:rsidRPr="005E29C8">
        <w:rPr>
          <w:sz w:val="28"/>
          <w:szCs w:val="28"/>
        </w:rPr>
        <w:t>По сравнению с 201</w:t>
      </w:r>
      <w:r w:rsidR="003B3B81">
        <w:rPr>
          <w:sz w:val="28"/>
          <w:szCs w:val="28"/>
        </w:rPr>
        <w:t>5</w:t>
      </w:r>
      <w:r w:rsidR="00C121C4" w:rsidRPr="005E29C8">
        <w:rPr>
          <w:sz w:val="28"/>
          <w:szCs w:val="28"/>
        </w:rPr>
        <w:t xml:space="preserve"> годом налоговые доходы бюджета</w:t>
      </w:r>
      <w:r w:rsidR="00A70931" w:rsidRPr="005E29C8">
        <w:rPr>
          <w:sz w:val="28"/>
          <w:szCs w:val="28"/>
        </w:rPr>
        <w:t xml:space="preserve"> </w:t>
      </w:r>
      <w:r w:rsidR="00241EDA" w:rsidRPr="005E29C8">
        <w:rPr>
          <w:sz w:val="28"/>
          <w:szCs w:val="28"/>
        </w:rPr>
        <w:t>у</w:t>
      </w:r>
      <w:r w:rsidR="00C01160">
        <w:rPr>
          <w:sz w:val="28"/>
          <w:szCs w:val="28"/>
        </w:rPr>
        <w:t>величились</w:t>
      </w:r>
      <w:r w:rsidR="00CB53F2" w:rsidRPr="005E29C8">
        <w:rPr>
          <w:sz w:val="28"/>
          <w:szCs w:val="28"/>
        </w:rPr>
        <w:t xml:space="preserve"> </w:t>
      </w:r>
      <w:r w:rsidR="00C121C4" w:rsidRPr="005E29C8">
        <w:rPr>
          <w:sz w:val="28"/>
          <w:szCs w:val="28"/>
        </w:rPr>
        <w:t xml:space="preserve"> на </w:t>
      </w:r>
      <w:r w:rsidR="007F24D9">
        <w:rPr>
          <w:sz w:val="28"/>
          <w:szCs w:val="28"/>
        </w:rPr>
        <w:t>26 195,3</w:t>
      </w:r>
      <w:r w:rsidR="00C121C4" w:rsidRPr="005E29C8">
        <w:rPr>
          <w:sz w:val="28"/>
          <w:szCs w:val="28"/>
        </w:rPr>
        <w:t xml:space="preserve"> тыс. руб</w:t>
      </w:r>
      <w:r w:rsidR="00827310">
        <w:rPr>
          <w:sz w:val="28"/>
          <w:szCs w:val="28"/>
        </w:rPr>
        <w:t>.</w:t>
      </w:r>
      <w:r w:rsidR="00C121C4" w:rsidRPr="005E29C8">
        <w:rPr>
          <w:sz w:val="28"/>
          <w:szCs w:val="28"/>
        </w:rPr>
        <w:t xml:space="preserve"> или на </w:t>
      </w:r>
      <w:r w:rsidR="007F24D9">
        <w:rPr>
          <w:sz w:val="28"/>
          <w:szCs w:val="28"/>
        </w:rPr>
        <w:t>3,4</w:t>
      </w:r>
      <w:r w:rsidR="00C121C4" w:rsidRPr="005E29C8">
        <w:rPr>
          <w:sz w:val="28"/>
          <w:szCs w:val="28"/>
        </w:rPr>
        <w:t xml:space="preserve">%, неналоговые доходы </w:t>
      </w:r>
      <w:r w:rsidR="007F24D9">
        <w:rPr>
          <w:sz w:val="28"/>
          <w:szCs w:val="28"/>
        </w:rPr>
        <w:t>уменьшились</w:t>
      </w:r>
      <w:r w:rsidR="00C121C4" w:rsidRPr="005E29C8">
        <w:rPr>
          <w:sz w:val="28"/>
          <w:szCs w:val="28"/>
        </w:rPr>
        <w:t xml:space="preserve"> на </w:t>
      </w:r>
      <w:r w:rsidR="007F24D9">
        <w:rPr>
          <w:sz w:val="28"/>
          <w:szCs w:val="28"/>
        </w:rPr>
        <w:t>58 585,7</w:t>
      </w:r>
      <w:r w:rsidR="00C121C4" w:rsidRPr="005E29C8">
        <w:rPr>
          <w:sz w:val="28"/>
          <w:szCs w:val="28"/>
        </w:rPr>
        <w:t xml:space="preserve"> </w:t>
      </w:r>
      <w:proofErr w:type="spellStart"/>
      <w:r w:rsidR="00C121C4" w:rsidRPr="005E29C8">
        <w:rPr>
          <w:sz w:val="28"/>
          <w:szCs w:val="28"/>
        </w:rPr>
        <w:t>тыс</w:t>
      </w:r>
      <w:proofErr w:type="gramStart"/>
      <w:r w:rsidR="00C121C4" w:rsidRPr="005E29C8">
        <w:rPr>
          <w:sz w:val="28"/>
          <w:szCs w:val="28"/>
        </w:rPr>
        <w:t>.р</w:t>
      </w:r>
      <w:proofErr w:type="gramEnd"/>
      <w:r w:rsidR="00C121C4" w:rsidRPr="005E29C8"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 w:rsidR="00C121C4" w:rsidRPr="005E29C8">
        <w:rPr>
          <w:sz w:val="28"/>
          <w:szCs w:val="28"/>
        </w:rPr>
        <w:t xml:space="preserve"> или на </w:t>
      </w:r>
      <w:r w:rsidR="007F24D9">
        <w:rPr>
          <w:sz w:val="28"/>
          <w:szCs w:val="28"/>
        </w:rPr>
        <w:t>26,6</w:t>
      </w:r>
      <w:r w:rsidR="00C121C4" w:rsidRPr="005E29C8">
        <w:rPr>
          <w:sz w:val="28"/>
          <w:szCs w:val="28"/>
        </w:rPr>
        <w:t>%, безвозмездные поступления у</w:t>
      </w:r>
      <w:r w:rsidR="007F24D9">
        <w:rPr>
          <w:sz w:val="28"/>
          <w:szCs w:val="28"/>
        </w:rPr>
        <w:t>величились</w:t>
      </w:r>
      <w:r w:rsidR="00C01160">
        <w:rPr>
          <w:sz w:val="28"/>
          <w:szCs w:val="28"/>
        </w:rPr>
        <w:t xml:space="preserve"> </w:t>
      </w:r>
      <w:r w:rsidR="00C121C4" w:rsidRPr="005E29C8">
        <w:rPr>
          <w:sz w:val="28"/>
          <w:szCs w:val="28"/>
        </w:rPr>
        <w:t xml:space="preserve">на </w:t>
      </w:r>
      <w:r w:rsidR="007F24D9">
        <w:rPr>
          <w:sz w:val="28"/>
          <w:szCs w:val="28"/>
        </w:rPr>
        <w:t>362 001,3</w:t>
      </w:r>
      <w:r w:rsidR="004F094A">
        <w:rPr>
          <w:sz w:val="28"/>
          <w:szCs w:val="28"/>
        </w:rPr>
        <w:t xml:space="preserve"> </w:t>
      </w:r>
      <w:proofErr w:type="spellStart"/>
      <w:r w:rsidR="00C121C4" w:rsidRPr="005E29C8">
        <w:rPr>
          <w:sz w:val="28"/>
          <w:szCs w:val="28"/>
        </w:rPr>
        <w:t>тыс.руб</w:t>
      </w:r>
      <w:proofErr w:type="spellEnd"/>
      <w:r w:rsidR="00827310">
        <w:rPr>
          <w:sz w:val="28"/>
          <w:szCs w:val="28"/>
        </w:rPr>
        <w:t>.</w:t>
      </w:r>
      <w:r w:rsidR="00C121C4" w:rsidRPr="005E29C8">
        <w:rPr>
          <w:sz w:val="28"/>
          <w:szCs w:val="28"/>
        </w:rPr>
        <w:t xml:space="preserve"> или на </w:t>
      </w:r>
      <w:r w:rsidR="007F24D9">
        <w:rPr>
          <w:sz w:val="28"/>
          <w:szCs w:val="28"/>
        </w:rPr>
        <w:t>14,8</w:t>
      </w:r>
      <w:r w:rsidR="00C121C4" w:rsidRPr="005E29C8">
        <w:rPr>
          <w:sz w:val="28"/>
          <w:szCs w:val="28"/>
        </w:rPr>
        <w:t>%.</w:t>
      </w:r>
    </w:p>
    <w:p w:rsidR="006C58FA" w:rsidRPr="005E29C8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Структура доходов бюджета  Альметьевского муниципального района за 201</w:t>
      </w:r>
      <w:r w:rsidR="007F24D9">
        <w:rPr>
          <w:sz w:val="28"/>
          <w:szCs w:val="28"/>
        </w:rPr>
        <w:t>5</w:t>
      </w:r>
      <w:r w:rsidRPr="005E29C8">
        <w:rPr>
          <w:sz w:val="28"/>
          <w:szCs w:val="28"/>
        </w:rPr>
        <w:t>-201</w:t>
      </w:r>
      <w:r w:rsidR="007F24D9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годы  представлена на диаграмме 2.  </w:t>
      </w:r>
    </w:p>
    <w:p w:rsidR="00C121C4" w:rsidRPr="005E29C8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</w:t>
      </w:r>
      <w:r w:rsidR="003F2EB2" w:rsidRPr="005E29C8">
        <w:rPr>
          <w:sz w:val="28"/>
          <w:szCs w:val="28"/>
        </w:rPr>
        <w:t xml:space="preserve">                         </w:t>
      </w:r>
      <w:r w:rsidRPr="005E29C8">
        <w:rPr>
          <w:sz w:val="28"/>
          <w:szCs w:val="28"/>
        </w:rPr>
        <w:t xml:space="preserve"> Диаграмма 2.   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Альметьевского муниципального района за 201</w:t>
      </w:r>
      <w:r w:rsidR="007F24D9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7F24D9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Pr="009257E5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267450" cy="28098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932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t xml:space="preserve">Таким образом, в отчетном году в структуре поступления доходов бюджета Альметьевского муниципального района отмечается </w:t>
      </w:r>
      <w:r w:rsidR="004F094A">
        <w:rPr>
          <w:sz w:val="28"/>
          <w:szCs w:val="28"/>
        </w:rPr>
        <w:t>увеличение</w:t>
      </w:r>
      <w:r w:rsidRPr="00C82A09">
        <w:rPr>
          <w:sz w:val="28"/>
          <w:szCs w:val="28"/>
        </w:rPr>
        <w:t xml:space="preserve"> доли </w:t>
      </w:r>
      <w:r w:rsidR="007F24D9">
        <w:rPr>
          <w:sz w:val="28"/>
          <w:szCs w:val="28"/>
        </w:rPr>
        <w:t xml:space="preserve">безвозмездных поступлений </w:t>
      </w:r>
      <w:r w:rsidRPr="00C82A09">
        <w:rPr>
          <w:sz w:val="28"/>
          <w:szCs w:val="28"/>
        </w:rPr>
        <w:t xml:space="preserve">и </w:t>
      </w:r>
      <w:r w:rsidR="004F094A">
        <w:rPr>
          <w:sz w:val="28"/>
          <w:szCs w:val="28"/>
        </w:rPr>
        <w:t>снижение</w:t>
      </w:r>
      <w:r w:rsidRPr="00C82A09">
        <w:rPr>
          <w:sz w:val="28"/>
          <w:szCs w:val="28"/>
        </w:rPr>
        <w:t xml:space="preserve"> доли</w:t>
      </w:r>
      <w:r w:rsidR="007F24D9">
        <w:rPr>
          <w:sz w:val="28"/>
          <w:szCs w:val="28"/>
        </w:rPr>
        <w:t xml:space="preserve"> налоговых и неналоговых доходов</w:t>
      </w:r>
      <w:r w:rsidRPr="00C82A09">
        <w:rPr>
          <w:sz w:val="28"/>
          <w:szCs w:val="28"/>
        </w:rPr>
        <w:t>.</w:t>
      </w:r>
      <w:r w:rsidR="00B740BA" w:rsidRPr="00C82A09">
        <w:rPr>
          <w:sz w:val="28"/>
          <w:szCs w:val="28"/>
        </w:rPr>
        <w:t xml:space="preserve">  </w:t>
      </w:r>
      <w:r w:rsidR="00DA0932"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</w:t>
      </w:r>
      <w:r w:rsidR="00DA0932">
        <w:rPr>
          <w:sz w:val="28"/>
          <w:szCs w:val="28"/>
        </w:rPr>
        <w:lastRenderedPageBreak/>
        <w:t xml:space="preserve">поступления, доля которых составила </w:t>
      </w:r>
      <w:r w:rsidR="00CB1ADA">
        <w:rPr>
          <w:sz w:val="28"/>
          <w:szCs w:val="28"/>
        </w:rPr>
        <w:t>7</w:t>
      </w:r>
      <w:r w:rsidR="001B2E75">
        <w:rPr>
          <w:sz w:val="28"/>
          <w:szCs w:val="28"/>
        </w:rPr>
        <w:t>4</w:t>
      </w:r>
      <w:r w:rsidR="00DA0932">
        <w:rPr>
          <w:sz w:val="28"/>
          <w:szCs w:val="28"/>
        </w:rPr>
        <w:t xml:space="preserve">%, и вторым по значимости доходным источником является налог на доходы физических лиц – </w:t>
      </w:r>
      <w:r w:rsidR="001B2E75">
        <w:rPr>
          <w:sz w:val="28"/>
          <w:szCs w:val="28"/>
        </w:rPr>
        <w:t>15</w:t>
      </w:r>
      <w:r w:rsidR="00DA0932">
        <w:rPr>
          <w:sz w:val="28"/>
          <w:szCs w:val="28"/>
        </w:rPr>
        <w:t xml:space="preserve">%. </w:t>
      </w:r>
      <w:r w:rsidR="00DA0932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DA0932" w:rsidRDefault="00DA0932" w:rsidP="00DA0932">
      <w:pPr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475" w:rsidRDefault="00B96475" w:rsidP="00DA0932">
      <w:pPr>
        <w:spacing w:line="276" w:lineRule="auto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</w:t>
      </w:r>
      <w:r w:rsidR="001B2E75">
        <w:rPr>
          <w:sz w:val="28"/>
          <w:szCs w:val="28"/>
        </w:rPr>
        <w:t>6</w:t>
      </w:r>
      <w:r w:rsidRPr="00C84250">
        <w:rPr>
          <w:sz w:val="28"/>
          <w:szCs w:val="28"/>
        </w:rPr>
        <w:t xml:space="preserve"> год составили  </w:t>
      </w:r>
      <w:r w:rsidR="001B2E75">
        <w:rPr>
          <w:sz w:val="28"/>
          <w:szCs w:val="28"/>
        </w:rPr>
        <w:t>804 422,0</w:t>
      </w:r>
      <w:r w:rsidRPr="00C84250">
        <w:rPr>
          <w:sz w:val="28"/>
          <w:szCs w:val="28"/>
        </w:rPr>
        <w:t xml:space="preserve"> тыс. рублей или  </w:t>
      </w:r>
      <w:r w:rsidR="001B2E75">
        <w:rPr>
          <w:sz w:val="28"/>
          <w:szCs w:val="28"/>
        </w:rPr>
        <w:t>102,7</w:t>
      </w:r>
      <w:r w:rsidRPr="00C84250">
        <w:rPr>
          <w:sz w:val="28"/>
          <w:szCs w:val="28"/>
        </w:rPr>
        <w:t>% от утвержденного показателя.</w:t>
      </w:r>
    </w:p>
    <w:p w:rsidR="00F53086" w:rsidRDefault="00F53086" w:rsidP="00F530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поступлений налоговых доходов в разрезе основных источников выполнен в следующих объемах:</w:t>
      </w:r>
    </w:p>
    <w:p w:rsidR="00F53086" w:rsidRDefault="00F53086" w:rsidP="00827310">
      <w:pPr>
        <w:numPr>
          <w:ilvl w:val="0"/>
          <w:numId w:val="9"/>
        </w:numPr>
        <w:tabs>
          <w:tab w:val="clear" w:pos="1428"/>
        </w:tabs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   -  </w:t>
      </w:r>
      <w:r w:rsidR="001B2E75">
        <w:rPr>
          <w:sz w:val="28"/>
          <w:szCs w:val="28"/>
        </w:rPr>
        <w:t>569 333,6</w:t>
      </w:r>
      <w:r w:rsidR="00F01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1F7D">
        <w:rPr>
          <w:sz w:val="28"/>
          <w:szCs w:val="28"/>
        </w:rPr>
        <w:t>10</w:t>
      </w:r>
      <w:r w:rsidR="001B2E75">
        <w:rPr>
          <w:sz w:val="28"/>
          <w:szCs w:val="28"/>
        </w:rPr>
        <w:t>1,8</w:t>
      </w:r>
      <w:r>
        <w:rPr>
          <w:sz w:val="28"/>
          <w:szCs w:val="28"/>
        </w:rPr>
        <w:t>% от уточненных назначений;</w:t>
      </w:r>
    </w:p>
    <w:p w:rsidR="00F53086" w:rsidRDefault="00F53086" w:rsidP="00827310">
      <w:pPr>
        <w:numPr>
          <w:ilvl w:val="0"/>
          <w:numId w:val="9"/>
        </w:numPr>
        <w:tabs>
          <w:tab w:val="clear" w:pos="1428"/>
        </w:tabs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ab/>
        <w:t xml:space="preserve">         -  </w:t>
      </w:r>
      <w:r w:rsidR="001B2E75">
        <w:rPr>
          <w:sz w:val="28"/>
          <w:szCs w:val="28"/>
        </w:rPr>
        <w:t>109 410,8</w:t>
      </w:r>
      <w:r>
        <w:rPr>
          <w:sz w:val="28"/>
          <w:szCs w:val="28"/>
        </w:rPr>
        <w:t xml:space="preserve"> тыс. рублей  или </w:t>
      </w:r>
      <w:r w:rsidR="001B2E75">
        <w:rPr>
          <w:sz w:val="28"/>
          <w:szCs w:val="28"/>
        </w:rPr>
        <w:t>95,8</w:t>
      </w:r>
      <w:r>
        <w:rPr>
          <w:sz w:val="28"/>
          <w:szCs w:val="28"/>
        </w:rPr>
        <w:t>% от уточненных назначений;</w:t>
      </w:r>
    </w:p>
    <w:p w:rsidR="00F53086" w:rsidRDefault="00F53086" w:rsidP="00827310">
      <w:pPr>
        <w:numPr>
          <w:ilvl w:val="0"/>
          <w:numId w:val="9"/>
        </w:numPr>
        <w:tabs>
          <w:tab w:val="clear" w:pos="1428"/>
        </w:tabs>
        <w:spacing w:line="276" w:lineRule="auto"/>
        <w:ind w:left="851" w:hanging="426"/>
        <w:jc w:val="both"/>
        <w:rPr>
          <w:sz w:val="28"/>
          <w:szCs w:val="28"/>
        </w:rPr>
      </w:pPr>
      <w:proofErr w:type="gramStart"/>
      <w:r w:rsidRPr="004F7D98">
        <w:rPr>
          <w:sz w:val="28"/>
          <w:szCs w:val="28"/>
        </w:rPr>
        <w:t>Налог</w:t>
      </w:r>
      <w:proofErr w:type="gramEnd"/>
      <w:r w:rsidRPr="004F7D98">
        <w:rPr>
          <w:sz w:val="28"/>
          <w:szCs w:val="28"/>
        </w:rPr>
        <w:t xml:space="preserve"> взимаемый в связи с применением </w:t>
      </w:r>
    </w:p>
    <w:p w:rsidR="00F53086" w:rsidRDefault="00F53086" w:rsidP="00827310">
      <w:pPr>
        <w:spacing w:line="276" w:lineRule="auto"/>
        <w:ind w:left="851" w:hanging="426"/>
        <w:jc w:val="both"/>
        <w:rPr>
          <w:sz w:val="28"/>
          <w:szCs w:val="28"/>
        </w:rPr>
      </w:pPr>
      <w:r w:rsidRPr="004F7D98">
        <w:rPr>
          <w:sz w:val="28"/>
          <w:szCs w:val="28"/>
        </w:rPr>
        <w:t xml:space="preserve">упрощенной системы налогообложения        </w:t>
      </w:r>
      <w:r w:rsidRPr="004F7D98">
        <w:rPr>
          <w:sz w:val="28"/>
          <w:szCs w:val="28"/>
        </w:rPr>
        <w:softHyphen/>
        <w:t xml:space="preserve">-  </w:t>
      </w:r>
      <w:r w:rsidR="001B2E75">
        <w:rPr>
          <w:sz w:val="28"/>
          <w:szCs w:val="28"/>
        </w:rPr>
        <w:t>61 800,5</w:t>
      </w:r>
      <w:r w:rsidRPr="004F7D98">
        <w:rPr>
          <w:sz w:val="28"/>
          <w:szCs w:val="28"/>
        </w:rPr>
        <w:t xml:space="preserve"> тыс. рублей или </w:t>
      </w:r>
      <w:r w:rsidR="00241EDA">
        <w:rPr>
          <w:sz w:val="28"/>
          <w:szCs w:val="28"/>
        </w:rPr>
        <w:t xml:space="preserve"> </w:t>
      </w:r>
      <w:r w:rsidR="002D248B">
        <w:rPr>
          <w:sz w:val="28"/>
          <w:szCs w:val="28"/>
        </w:rPr>
        <w:t>100,</w:t>
      </w:r>
      <w:r w:rsidR="001B2E75">
        <w:rPr>
          <w:sz w:val="28"/>
          <w:szCs w:val="28"/>
        </w:rPr>
        <w:t>9</w:t>
      </w:r>
      <w:r w:rsidR="002D248B">
        <w:rPr>
          <w:sz w:val="28"/>
          <w:szCs w:val="28"/>
        </w:rPr>
        <w:t xml:space="preserve"> </w:t>
      </w:r>
      <w:r w:rsidRPr="004F7D98">
        <w:rPr>
          <w:sz w:val="28"/>
          <w:szCs w:val="28"/>
        </w:rPr>
        <w:t>% от уточненных назначений;</w:t>
      </w:r>
    </w:p>
    <w:p w:rsidR="001B2E75" w:rsidRDefault="001B2E75" w:rsidP="00827310">
      <w:pPr>
        <w:numPr>
          <w:ilvl w:val="0"/>
          <w:numId w:val="9"/>
        </w:numPr>
        <w:tabs>
          <w:tab w:val="clear" w:pos="1428"/>
        </w:tabs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услуги), </w:t>
      </w:r>
    </w:p>
    <w:p w:rsidR="001B2E75" w:rsidRDefault="001B2E75" w:rsidP="00827310">
      <w:pPr>
        <w:spacing w:line="276" w:lineRule="auto"/>
        <w:ind w:left="851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реализуемые на территории Российской           </w:t>
      </w:r>
      <w:proofErr w:type="gramEnd"/>
    </w:p>
    <w:p w:rsidR="001B2E75" w:rsidRDefault="001B2E75" w:rsidP="00827310">
      <w:pPr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                                                            - 40 453,1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>
        <w:rPr>
          <w:sz w:val="28"/>
          <w:szCs w:val="28"/>
        </w:rPr>
        <w:t xml:space="preserve">  или 162,5% от уточненных назначений;</w:t>
      </w:r>
    </w:p>
    <w:p w:rsidR="00641C43" w:rsidRDefault="00F53086" w:rsidP="00827310">
      <w:pPr>
        <w:numPr>
          <w:ilvl w:val="0"/>
          <w:numId w:val="9"/>
        </w:numPr>
        <w:tabs>
          <w:tab w:val="clear" w:pos="1428"/>
        </w:tabs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                      </w:t>
      </w:r>
      <w:r w:rsidR="00641C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41C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="00641C43">
        <w:rPr>
          <w:sz w:val="28"/>
          <w:szCs w:val="28"/>
        </w:rPr>
        <w:t>19 762,2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641C43">
        <w:rPr>
          <w:sz w:val="28"/>
          <w:szCs w:val="28"/>
        </w:rPr>
        <w:t xml:space="preserve"> </w:t>
      </w:r>
    </w:p>
    <w:p w:rsidR="00F53086" w:rsidRDefault="00F53086" w:rsidP="00827310">
      <w:pPr>
        <w:spacing w:line="276" w:lineRule="auto"/>
        <w:ind w:left="85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или </w:t>
      </w:r>
      <w:r w:rsidR="00641C43">
        <w:rPr>
          <w:sz w:val="28"/>
          <w:szCs w:val="28"/>
        </w:rPr>
        <w:t>95,9</w:t>
      </w:r>
      <w:r w:rsidR="002D248B">
        <w:rPr>
          <w:sz w:val="28"/>
          <w:szCs w:val="28"/>
        </w:rPr>
        <w:t xml:space="preserve"> </w:t>
      </w:r>
      <w:r>
        <w:rPr>
          <w:sz w:val="28"/>
          <w:szCs w:val="28"/>
        </w:rPr>
        <w:t>% от уточненных назначений</w:t>
      </w:r>
      <w:r w:rsidR="00F01F7D">
        <w:rPr>
          <w:sz w:val="28"/>
          <w:szCs w:val="28"/>
        </w:rPr>
        <w:t>;</w:t>
      </w:r>
    </w:p>
    <w:p w:rsidR="00DA0932" w:rsidRDefault="00DA0932" w:rsidP="00DA0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</w:t>
      </w:r>
      <w:r w:rsidR="00641C43">
        <w:rPr>
          <w:sz w:val="28"/>
          <w:szCs w:val="28"/>
        </w:rPr>
        <w:t>7 г</w:t>
      </w:r>
      <w:r>
        <w:rPr>
          <w:sz w:val="28"/>
          <w:szCs w:val="28"/>
        </w:rPr>
        <w:t xml:space="preserve">. исполнение доходных показателей, по сравнению с уточненными плановыми, 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нижеследующей таблице:</w:t>
      </w:r>
    </w:p>
    <w:p w:rsidR="00DA0932" w:rsidRDefault="00DA0932" w:rsidP="00DA09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4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1985"/>
        <w:gridCol w:w="1559"/>
        <w:gridCol w:w="1276"/>
        <w:gridCol w:w="1134"/>
        <w:gridCol w:w="1276"/>
        <w:gridCol w:w="992"/>
      </w:tblGrid>
      <w:tr w:rsidR="00DA0932" w:rsidRPr="004929DA" w:rsidTr="007D155D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DA0932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>КВД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DA0932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641C43" w:rsidP="00223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>Решение</w:t>
            </w:r>
            <w:r w:rsidR="0022384B" w:rsidRPr="0022384B">
              <w:rPr>
                <w:b/>
                <w:sz w:val="22"/>
                <w:szCs w:val="22"/>
                <w:lang w:eastAsia="en-US"/>
              </w:rPr>
              <w:t xml:space="preserve"> о бюджете № 24 от</w:t>
            </w:r>
            <w:r w:rsidRPr="0022384B">
              <w:rPr>
                <w:b/>
                <w:sz w:val="22"/>
                <w:szCs w:val="22"/>
                <w:lang w:eastAsia="en-US"/>
              </w:rPr>
              <w:t xml:space="preserve"> 10.12.2015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22384B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</w:rPr>
              <w:t>Решение о бюджете № 143</w:t>
            </w:r>
            <w:r w:rsidRPr="0022384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2384B">
              <w:rPr>
                <w:b/>
                <w:sz w:val="22"/>
                <w:szCs w:val="22"/>
              </w:rPr>
              <w:t>от 28.12.2016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DA0932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>Сумма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DA0932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22384B" w:rsidRDefault="00DA0932" w:rsidP="00182B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84B">
              <w:rPr>
                <w:b/>
                <w:sz w:val="22"/>
                <w:szCs w:val="22"/>
                <w:lang w:eastAsia="en-US"/>
              </w:rPr>
              <w:t xml:space="preserve">% исполнения от уточненного плана </w:t>
            </w:r>
          </w:p>
        </w:tc>
      </w:tr>
      <w:tr w:rsidR="00887F01" w:rsidRPr="004929DA" w:rsidTr="007D155D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477A3B" w:rsidRDefault="00887F01" w:rsidP="00182BBC">
            <w:pPr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41C43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C6387B" w:rsidP="001A20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C27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83 046,2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C6387B" w:rsidP="005E6B3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6C27F0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</w:tr>
      <w:tr w:rsidR="00887F01" w:rsidRPr="004929DA" w:rsidTr="007D155D">
        <w:trPr>
          <w:trHeight w:val="27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7F01" w:rsidRPr="00BC176D" w:rsidRDefault="00887F01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6C27F0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772 282,2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8A7767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783</w:t>
            </w:r>
            <w:r w:rsidR="006C27F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B27AC7" w:rsidP="001A20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074D47" w:rsidRDefault="008A7767" w:rsidP="00182B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804</w:t>
            </w:r>
            <w:r w:rsidR="006C27F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01" w:rsidRPr="004929DA" w:rsidRDefault="00B27AC7" w:rsidP="005E6B3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102,7</w:t>
            </w:r>
          </w:p>
        </w:tc>
      </w:tr>
      <w:tr w:rsidR="00887F01" w:rsidRPr="004929DA" w:rsidTr="007D155D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477A3B" w:rsidRDefault="00887F01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41C43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18 170,0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101,8</w:t>
            </w:r>
          </w:p>
        </w:tc>
      </w:tr>
      <w:tr w:rsidR="00887F01" w:rsidRPr="004929DA" w:rsidTr="007D155D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1.01.02.000.01.0.000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1" w:rsidRPr="00DA0932" w:rsidRDefault="00887F01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41C43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6 667,2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887F01" w:rsidRPr="004929DA" w:rsidTr="007D155D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887F01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1.03.00.000.00.0.000.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Pr="00477A3B" w:rsidRDefault="00887F01" w:rsidP="00182BBC">
            <w:pPr>
              <w:outlineLvl w:val="1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641C43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01" w:rsidRDefault="003D798C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F01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162,5</w:t>
            </w:r>
          </w:p>
        </w:tc>
      </w:tr>
      <w:tr w:rsidR="003D798C" w:rsidRPr="004929DA" w:rsidTr="007D155D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1.03.02.000.01.0.000.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2D248B" w:rsidRDefault="003D798C" w:rsidP="00182BBC">
            <w:pPr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641C43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3A572D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3A572D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3A572D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162,5</w:t>
            </w:r>
          </w:p>
        </w:tc>
      </w:tr>
      <w:tr w:rsidR="003D798C" w:rsidRPr="004929DA" w:rsidTr="007D155D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1.05.00.000.00.0.000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6C27F0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5E6B3E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</w:tr>
      <w:tr w:rsidR="003D798C" w:rsidRPr="004929DA" w:rsidTr="007D155D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1.05.01.000.00.0.000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5E6B3E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</w:tc>
      </w:tr>
      <w:tr w:rsidR="003D798C" w:rsidRPr="004929DA" w:rsidTr="007D155D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1.05.02.000.02.0.000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-5 200,0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022971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022971">
              <w:rPr>
                <w:lang w:eastAsia="en-US"/>
              </w:rPr>
              <w:t> 410,8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022971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95,</w:t>
            </w:r>
            <w:r w:rsidR="00022971">
              <w:rPr>
                <w:lang w:eastAsia="en-US"/>
              </w:rPr>
              <w:t>9</w:t>
            </w:r>
          </w:p>
        </w:tc>
      </w:tr>
      <w:tr w:rsidR="003D798C" w:rsidRPr="004929DA" w:rsidTr="007D155D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1.05.03.000.01.0.000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3D798C" w:rsidRPr="004929DA" w:rsidTr="007D155D">
        <w:trPr>
          <w:trHeight w:val="7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1.05.04.020.02.1.000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115,2</w:t>
            </w:r>
          </w:p>
        </w:tc>
      </w:tr>
      <w:tr w:rsidR="003D798C" w:rsidRPr="004929DA" w:rsidTr="007D155D">
        <w:trPr>
          <w:trHeight w:val="7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1.07.01.020.01.0000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DA0932" w:rsidRDefault="003D798C" w:rsidP="00641C43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96,3</w:t>
            </w:r>
          </w:p>
        </w:tc>
      </w:tr>
      <w:tr w:rsidR="003D798C" w:rsidRPr="004929DA" w:rsidTr="007D155D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1.08.00.000.00.0.000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-5 600,0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95,9</w:t>
            </w:r>
          </w:p>
        </w:tc>
      </w:tr>
      <w:tr w:rsidR="003D798C" w:rsidRPr="004929DA" w:rsidTr="007D155D">
        <w:trPr>
          <w:trHeight w:val="141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1.09.00.000.00.0.000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D798C" w:rsidRPr="004929DA" w:rsidTr="007D155D">
        <w:trPr>
          <w:trHeight w:val="300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98C" w:rsidRPr="00BC176D" w:rsidRDefault="003D798C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6C27F0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7D155D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  <w:r w:rsidR="006C27F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B27AC7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7D155D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  <w:r w:rsidR="006C27F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98C" w:rsidRPr="004929DA" w:rsidRDefault="00B27AC7" w:rsidP="001A2024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108,8</w:t>
            </w:r>
          </w:p>
        </w:tc>
      </w:tr>
      <w:tr w:rsidR="003D798C" w:rsidRPr="004929DA" w:rsidTr="007D155D">
        <w:trPr>
          <w:trHeight w:val="144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1.11.00.000.00.0.000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26 250,0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</w:tr>
      <w:tr w:rsidR="003D798C" w:rsidRPr="004929DA" w:rsidTr="007D155D">
        <w:trPr>
          <w:trHeight w:val="84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15 404,5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101,6</w:t>
            </w:r>
          </w:p>
        </w:tc>
      </w:tr>
      <w:tr w:rsidR="003D798C" w:rsidRPr="004929DA" w:rsidTr="007D155D">
        <w:trPr>
          <w:trHeight w:val="12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1.13.00.000.00.0.000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170,5</w:t>
            </w:r>
          </w:p>
        </w:tc>
      </w:tr>
      <w:tr w:rsidR="003D798C" w:rsidRPr="004929DA" w:rsidTr="007D155D">
        <w:trPr>
          <w:trHeight w:val="89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1.14.00.000.00.0.000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4929DA" w:rsidRDefault="00B27AC7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3D798C" w:rsidRPr="004929DA" w:rsidTr="007D155D">
        <w:trPr>
          <w:trHeight w:val="57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1.16.00.000.00.0.000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B27AC7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7D155D" w:rsidP="001A2024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6C27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4929DA" w:rsidRDefault="00B27AC7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109,8</w:t>
            </w:r>
          </w:p>
        </w:tc>
      </w:tr>
      <w:tr w:rsidR="003D798C" w:rsidRPr="004929DA" w:rsidTr="007D155D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929DA" w:rsidRDefault="003D798C" w:rsidP="00182BBC">
            <w:pPr>
              <w:jc w:val="center"/>
              <w:rPr>
                <w:b/>
                <w:lang w:eastAsia="en-US"/>
              </w:rPr>
            </w:pPr>
            <w:r w:rsidRPr="004929DA">
              <w:rPr>
                <w:b/>
                <w:lang w:eastAsia="en-US"/>
              </w:rPr>
              <w:t>2.00.00.000.00.0.000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rPr>
                <w:b/>
                <w:sz w:val="16"/>
                <w:szCs w:val="16"/>
                <w:lang w:eastAsia="en-US"/>
              </w:rPr>
            </w:pPr>
            <w:r w:rsidRPr="00477A3B">
              <w:rPr>
                <w:b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3D798C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C27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501</w:t>
            </w:r>
            <w:r w:rsidR="006C27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7D155D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C27F0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812</w:t>
            </w:r>
            <w:r w:rsidR="006C27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B27AC7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310 913,6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929DA" w:rsidRDefault="007D155D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C27F0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799</w:t>
            </w:r>
            <w:r w:rsidR="006C27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4929DA" w:rsidRDefault="003A572D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99,5</w:t>
            </w:r>
          </w:p>
        </w:tc>
      </w:tr>
      <w:tr w:rsidR="003D798C" w:rsidRPr="004929DA" w:rsidTr="007D155D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2.02.00.000.00.0.000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3D798C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808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3A572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306 950,3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806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430DC1" w:rsidRDefault="003A572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3D798C" w:rsidRPr="004929DA" w:rsidTr="007D155D">
        <w:trPr>
          <w:trHeight w:val="102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C6387B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2.02.01.000.00.0.000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C6387B" w:rsidRDefault="003D798C" w:rsidP="00182BBC">
            <w:pPr>
              <w:outlineLvl w:val="0"/>
              <w:rPr>
                <w:sz w:val="22"/>
                <w:szCs w:val="22"/>
                <w:lang w:eastAsia="en-US"/>
              </w:rPr>
            </w:pPr>
            <w:r w:rsidRPr="00C6387B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430DC1" w:rsidRDefault="007D155D" w:rsidP="00182BB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D798C" w:rsidRPr="004929DA" w:rsidTr="007D155D">
        <w:trPr>
          <w:trHeight w:val="165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2.02.02.000.00.0.000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BF0E01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 xml:space="preserve">Субсидии бюджетам </w:t>
            </w:r>
            <w:r>
              <w:rPr>
                <w:sz w:val="20"/>
                <w:szCs w:val="20"/>
                <w:lang w:eastAsia="en-US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D798C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695,3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7D155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192 414,7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7D155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D798C" w:rsidRPr="004929DA" w:rsidTr="007D155D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2.02.03.000.00.0.000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D798C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177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7D155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150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-26 377,3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7D155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150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602BB4" w:rsidRDefault="007D155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D798C" w:rsidRPr="004929DA" w:rsidTr="007D155D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2.02.04.000.00.0.000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D798C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</w:t>
            </w:r>
            <w:r w:rsidR="006C27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1 131 166,4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140 912,8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1 128 692,4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3D798C" w:rsidRPr="004929DA" w:rsidTr="007D155D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000 207 05000 05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DA0932" w:rsidRDefault="003D798C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D798C" w:rsidRPr="004929DA" w:rsidTr="007D155D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430DC1" w:rsidRDefault="003D798C" w:rsidP="00254191">
            <w:pPr>
              <w:outlineLvl w:val="1"/>
              <w:rPr>
                <w:lang w:eastAsia="en-US"/>
              </w:rPr>
            </w:pPr>
            <w:r w:rsidRPr="00430DC1">
              <w:rPr>
                <w:lang w:eastAsia="en-US"/>
              </w:rPr>
              <w:t>2.18. 00.000.00.0.000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254191" w:rsidRDefault="003D798C" w:rsidP="00CD552C">
            <w:pPr>
              <w:outlineLvl w:val="1"/>
              <w:rPr>
                <w:sz w:val="16"/>
                <w:szCs w:val="16"/>
                <w:lang w:eastAsia="en-US"/>
              </w:rPr>
            </w:pPr>
            <w:r w:rsidRPr="00254191">
              <w:rPr>
                <w:sz w:val="16"/>
                <w:szCs w:val="16"/>
                <w:lang w:eastAsia="en-US"/>
              </w:rPr>
              <w:t xml:space="preserve">ДОХОДЫ БЮДЖЕТОВ БЮДЖЕТНОЙ СИСТЕМЫ </w:t>
            </w:r>
            <w:r>
              <w:rPr>
                <w:sz w:val="16"/>
                <w:szCs w:val="16"/>
                <w:lang w:eastAsia="en-US"/>
              </w:rPr>
              <w:t>РФ</w:t>
            </w:r>
            <w:r w:rsidRPr="00254191">
              <w:rPr>
                <w:sz w:val="16"/>
                <w:szCs w:val="16"/>
                <w:lang w:eastAsia="en-US"/>
              </w:rPr>
              <w:t xml:space="preserve"> ОТ ВОЗВРАТА БЮДЖЕТАМИ БЮДЖЕТНОЙ СИСТЕМЫ РФ и ОРГАНИЗАЦИЯМИ ОТСТАТКОВ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3D798C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Pr="00602BB4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602BB4" w:rsidRDefault="003A572D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190,3</w:t>
            </w:r>
          </w:p>
        </w:tc>
      </w:tr>
      <w:tr w:rsidR="003D798C" w:rsidRPr="004929DA" w:rsidTr="007D155D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30DC1" w:rsidRDefault="003D798C" w:rsidP="00182BBC">
            <w:pPr>
              <w:jc w:val="center"/>
              <w:outlineLvl w:val="0"/>
              <w:rPr>
                <w:lang w:eastAsia="en-US"/>
              </w:rPr>
            </w:pPr>
            <w:r w:rsidRPr="00430DC1">
              <w:rPr>
                <w:lang w:eastAsia="en-US"/>
              </w:rPr>
              <w:t>2.19.00.000.00.0.000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C" w:rsidRPr="00477A3B" w:rsidRDefault="003D798C" w:rsidP="00182BBC">
            <w:pPr>
              <w:outlineLvl w:val="0"/>
              <w:rPr>
                <w:sz w:val="16"/>
                <w:szCs w:val="16"/>
                <w:lang w:eastAsia="en-US"/>
              </w:rPr>
            </w:pPr>
            <w:r w:rsidRPr="00477A3B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3D798C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-4 924,9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-4 924,9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8C" w:rsidRDefault="006C27F0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-18 596,5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Default="003A572D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377,6</w:t>
            </w:r>
          </w:p>
        </w:tc>
      </w:tr>
      <w:tr w:rsidR="003D798C" w:rsidRPr="004929DA" w:rsidTr="007D155D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8C" w:rsidRDefault="003D798C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98C" w:rsidRPr="00BC176D" w:rsidRDefault="003D798C" w:rsidP="00182BBC">
            <w:pPr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1D3D91" w:rsidRDefault="003D798C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3 351 003,6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1D3D91" w:rsidRDefault="006C27F0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3 744 963,5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1D3D91" w:rsidRDefault="003A572D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393 959,9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1D3D91" w:rsidRDefault="006C27F0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3 765 368,9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8C" w:rsidRPr="001D3D91" w:rsidRDefault="003A572D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100,5</w:t>
            </w:r>
          </w:p>
        </w:tc>
      </w:tr>
    </w:tbl>
    <w:p w:rsidR="00DA0932" w:rsidRDefault="00DA0932" w:rsidP="00DA0932">
      <w:pPr>
        <w:spacing w:line="276" w:lineRule="auto"/>
        <w:ind w:firstLine="708"/>
        <w:jc w:val="both"/>
        <w:rPr>
          <w:sz w:val="28"/>
          <w:szCs w:val="28"/>
        </w:rPr>
      </w:pPr>
    </w:p>
    <w:p w:rsidR="00DA0932" w:rsidRDefault="00DA0932" w:rsidP="00DA09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налоговых и неналоговых поступлений составил </w:t>
      </w:r>
      <w:r w:rsidR="003A572D" w:rsidRPr="003A572D">
        <w:rPr>
          <w:sz w:val="28"/>
          <w:szCs w:val="28"/>
          <w:lang w:eastAsia="en-US"/>
        </w:rPr>
        <w:t>966 139,3</w:t>
      </w:r>
      <w:r>
        <w:rPr>
          <w:sz w:val="28"/>
          <w:szCs w:val="28"/>
        </w:rPr>
        <w:t xml:space="preserve">  тыс. рублей или </w:t>
      </w:r>
      <w:r w:rsidR="00CB039C">
        <w:rPr>
          <w:sz w:val="28"/>
          <w:szCs w:val="28"/>
        </w:rPr>
        <w:t>10</w:t>
      </w:r>
      <w:r w:rsidR="003A572D">
        <w:rPr>
          <w:sz w:val="28"/>
          <w:szCs w:val="28"/>
        </w:rPr>
        <w:t>3,6</w:t>
      </w:r>
      <w:r>
        <w:rPr>
          <w:sz w:val="28"/>
          <w:szCs w:val="28"/>
        </w:rPr>
        <w:t xml:space="preserve">%  </w:t>
      </w:r>
      <w:r w:rsidR="009A3016" w:rsidRPr="00D04A7A">
        <w:rPr>
          <w:sz w:val="28"/>
          <w:szCs w:val="28"/>
        </w:rPr>
        <w:t>от утвержденного</w:t>
      </w:r>
      <w:r w:rsidR="009A3016">
        <w:rPr>
          <w:sz w:val="28"/>
          <w:szCs w:val="28"/>
        </w:rPr>
        <w:t xml:space="preserve"> </w:t>
      </w:r>
      <w:r w:rsidR="009A3016" w:rsidRPr="00D04A7A">
        <w:rPr>
          <w:sz w:val="28"/>
          <w:szCs w:val="28"/>
        </w:rPr>
        <w:t>показателя и к уровню 201</w:t>
      </w:r>
      <w:r w:rsidR="003A572D">
        <w:rPr>
          <w:sz w:val="28"/>
          <w:szCs w:val="28"/>
        </w:rPr>
        <w:t>5</w:t>
      </w:r>
      <w:r w:rsidR="009A3016" w:rsidRPr="00D04A7A">
        <w:rPr>
          <w:sz w:val="28"/>
          <w:szCs w:val="28"/>
        </w:rPr>
        <w:t xml:space="preserve"> года </w:t>
      </w:r>
      <w:r w:rsidR="001A2024">
        <w:rPr>
          <w:sz w:val="28"/>
          <w:szCs w:val="28"/>
        </w:rPr>
        <w:t>у</w:t>
      </w:r>
      <w:r w:rsidR="003A572D">
        <w:rPr>
          <w:sz w:val="28"/>
          <w:szCs w:val="28"/>
        </w:rPr>
        <w:t>меньшилис</w:t>
      </w:r>
      <w:r w:rsidR="001A2024">
        <w:rPr>
          <w:sz w:val="28"/>
          <w:szCs w:val="28"/>
        </w:rPr>
        <w:t xml:space="preserve">ь </w:t>
      </w:r>
      <w:r w:rsidR="009A3016" w:rsidRPr="00D04A7A">
        <w:rPr>
          <w:sz w:val="28"/>
          <w:szCs w:val="28"/>
        </w:rPr>
        <w:t xml:space="preserve"> на </w:t>
      </w:r>
      <w:r w:rsidR="003A572D">
        <w:rPr>
          <w:sz w:val="28"/>
          <w:szCs w:val="28"/>
        </w:rPr>
        <w:t>3,2</w:t>
      </w:r>
      <w:r w:rsidR="009A3016">
        <w:rPr>
          <w:sz w:val="28"/>
          <w:szCs w:val="28"/>
        </w:rPr>
        <w:t>%.</w:t>
      </w:r>
    </w:p>
    <w:p w:rsidR="00F213F6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</w:t>
      </w:r>
      <w:r w:rsidR="003A572D">
        <w:rPr>
          <w:sz w:val="28"/>
          <w:szCs w:val="28"/>
        </w:rPr>
        <w:t>6</w:t>
      </w:r>
      <w:r w:rsidRPr="00C84250">
        <w:rPr>
          <w:sz w:val="28"/>
          <w:szCs w:val="28"/>
        </w:rPr>
        <w:t xml:space="preserve"> году по видам доходов представлена на диаграмме 3.</w:t>
      </w:r>
    </w:p>
    <w:p w:rsidR="009719FF" w:rsidRDefault="009719FF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Диаграмма 3.</w:t>
      </w:r>
    </w:p>
    <w:p w:rsidR="008549A2" w:rsidRPr="008549A2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t>Структура налоговых доходов бюджета района в 201</w:t>
      </w:r>
      <w:r w:rsidR="003A572D">
        <w:rPr>
          <w:b/>
          <w:i/>
          <w:sz w:val="28"/>
          <w:szCs w:val="28"/>
        </w:rPr>
        <w:t>6</w:t>
      </w:r>
      <w:r w:rsidRPr="008549A2">
        <w:rPr>
          <w:b/>
          <w:i/>
          <w:sz w:val="28"/>
          <w:szCs w:val="28"/>
        </w:rPr>
        <w:t xml:space="preserve"> году по видам доходов</w:t>
      </w:r>
    </w:p>
    <w:p w:rsidR="009A3016" w:rsidRDefault="009A301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Pr="00B96475" w:rsidRDefault="00B96475" w:rsidP="00247C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57900" cy="3299460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B8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35B88" w:rsidRDefault="009A3016" w:rsidP="0088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 является самым крупным доходным источником бюджета района. </w:t>
      </w:r>
      <w:r w:rsidR="00E35B88" w:rsidRPr="00175025">
        <w:rPr>
          <w:sz w:val="28"/>
          <w:szCs w:val="28"/>
        </w:rPr>
        <w:t>В отчетном году поступления по налогу на доходы физических лиц  составили</w:t>
      </w:r>
      <w:r w:rsidR="00175025" w:rsidRPr="00175025">
        <w:rPr>
          <w:sz w:val="28"/>
          <w:szCs w:val="28"/>
        </w:rPr>
        <w:t xml:space="preserve">  </w:t>
      </w:r>
      <w:r w:rsidR="00247C1C">
        <w:rPr>
          <w:sz w:val="28"/>
          <w:szCs w:val="28"/>
        </w:rPr>
        <w:t>569 333,6</w:t>
      </w:r>
      <w:r w:rsidR="00E35B88" w:rsidRPr="00175025">
        <w:rPr>
          <w:sz w:val="28"/>
          <w:szCs w:val="28"/>
        </w:rPr>
        <w:t xml:space="preserve"> тыс. рублей или </w:t>
      </w:r>
      <w:r w:rsidR="00200607">
        <w:rPr>
          <w:sz w:val="28"/>
          <w:szCs w:val="28"/>
        </w:rPr>
        <w:t>71</w:t>
      </w:r>
      <w:r w:rsidR="00E35B88" w:rsidRPr="00175025">
        <w:rPr>
          <w:sz w:val="28"/>
          <w:szCs w:val="28"/>
        </w:rPr>
        <w:t xml:space="preserve">% </w:t>
      </w:r>
      <w:r w:rsidR="00D04A7A">
        <w:rPr>
          <w:sz w:val="28"/>
          <w:szCs w:val="28"/>
        </w:rPr>
        <w:t>в общей сумме налоговых доходов бюджета района.</w:t>
      </w:r>
      <w:r w:rsidR="00DA0932">
        <w:rPr>
          <w:sz w:val="28"/>
          <w:szCs w:val="28"/>
        </w:rPr>
        <w:t xml:space="preserve"> </w:t>
      </w:r>
    </w:p>
    <w:p w:rsidR="00877F0E" w:rsidRPr="005E29C8" w:rsidRDefault="00D04A7A" w:rsidP="00887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02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7F0E" w:rsidRPr="005E29C8">
        <w:rPr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 w:rsidR="00247C1C">
        <w:rPr>
          <w:sz w:val="28"/>
          <w:szCs w:val="28"/>
        </w:rPr>
        <w:t>5</w:t>
      </w:r>
      <w:r w:rsidR="00877F0E" w:rsidRPr="005E29C8">
        <w:rPr>
          <w:sz w:val="28"/>
          <w:szCs w:val="28"/>
        </w:rPr>
        <w:t>-201</w:t>
      </w:r>
      <w:r w:rsidR="00247C1C">
        <w:rPr>
          <w:sz w:val="28"/>
          <w:szCs w:val="28"/>
        </w:rPr>
        <w:t>6</w:t>
      </w:r>
      <w:r w:rsidR="00877F0E" w:rsidRPr="005E29C8">
        <w:rPr>
          <w:sz w:val="28"/>
          <w:szCs w:val="28"/>
        </w:rPr>
        <w:t xml:space="preserve"> годы  представлена на диаграмме </w:t>
      </w:r>
      <w:r w:rsidR="00B96475" w:rsidRPr="005E29C8">
        <w:rPr>
          <w:sz w:val="28"/>
          <w:szCs w:val="28"/>
        </w:rPr>
        <w:t>4</w:t>
      </w:r>
      <w:r w:rsidR="00877F0E" w:rsidRPr="005E29C8">
        <w:rPr>
          <w:sz w:val="28"/>
          <w:szCs w:val="28"/>
        </w:rPr>
        <w:t xml:space="preserve">. </w:t>
      </w:r>
    </w:p>
    <w:p w:rsidR="00877F0E" w:rsidRPr="005E29C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                                                                                                   </w:t>
      </w:r>
      <w:r w:rsidR="003F2EB2" w:rsidRPr="005E29C8">
        <w:rPr>
          <w:sz w:val="28"/>
          <w:szCs w:val="28"/>
        </w:rPr>
        <w:t xml:space="preserve">  </w:t>
      </w:r>
      <w:r w:rsidR="005E29C8" w:rsidRPr="005E29C8">
        <w:rPr>
          <w:sz w:val="28"/>
          <w:szCs w:val="28"/>
        </w:rPr>
        <w:t>Ди</w:t>
      </w:r>
      <w:r w:rsidRPr="005E29C8">
        <w:rPr>
          <w:sz w:val="28"/>
          <w:szCs w:val="28"/>
        </w:rPr>
        <w:t xml:space="preserve">аграмма </w:t>
      </w:r>
      <w:r w:rsidR="00B96475" w:rsidRPr="005E29C8">
        <w:rPr>
          <w:sz w:val="28"/>
          <w:szCs w:val="28"/>
        </w:rPr>
        <w:t>4</w:t>
      </w:r>
      <w:r w:rsidRPr="005E29C8">
        <w:rPr>
          <w:sz w:val="28"/>
          <w:szCs w:val="28"/>
        </w:rPr>
        <w:t>.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налоговых доходов бюджета  Альметьевского муниципального района за 201</w:t>
      </w:r>
      <w:r w:rsidR="00247C1C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247C1C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77F0E" w:rsidRPr="005E29C8" w:rsidRDefault="00366BF1" w:rsidP="00B518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877F0E" w:rsidRPr="005E29C8">
        <w:rPr>
          <w:sz w:val="28"/>
          <w:szCs w:val="28"/>
        </w:rPr>
        <w:t>млн</w:t>
      </w:r>
      <w:proofErr w:type="gramStart"/>
      <w:r w:rsidR="00877F0E" w:rsidRPr="005E29C8">
        <w:rPr>
          <w:sz w:val="28"/>
          <w:szCs w:val="28"/>
        </w:rPr>
        <w:t>.р</w:t>
      </w:r>
      <w:proofErr w:type="gramEnd"/>
      <w:r w:rsidR="00877F0E" w:rsidRPr="005E29C8">
        <w:rPr>
          <w:sz w:val="28"/>
          <w:szCs w:val="28"/>
        </w:rPr>
        <w:t>уб</w:t>
      </w:r>
      <w:proofErr w:type="spellEnd"/>
      <w:r w:rsidR="00877F0E" w:rsidRPr="005E29C8">
        <w:rPr>
          <w:sz w:val="28"/>
          <w:szCs w:val="28"/>
        </w:rPr>
        <w:t>.</w:t>
      </w:r>
      <w:r w:rsidRPr="00366BF1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A22683B" wp14:editId="45058E67">
            <wp:extent cx="6393180" cy="34671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039C" w:rsidRPr="00FB1FC9" w:rsidRDefault="00742828" w:rsidP="00CB039C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E29C8">
        <w:rPr>
          <w:sz w:val="28"/>
          <w:szCs w:val="28"/>
        </w:rPr>
        <w:t>По сравнению с 201</w:t>
      </w:r>
      <w:r w:rsidR="00366BF1">
        <w:rPr>
          <w:sz w:val="28"/>
          <w:szCs w:val="28"/>
        </w:rPr>
        <w:t>5</w:t>
      </w:r>
      <w:r w:rsidRPr="005E29C8">
        <w:rPr>
          <w:sz w:val="28"/>
          <w:szCs w:val="28"/>
        </w:rPr>
        <w:t xml:space="preserve"> годом поступления налога на доходы физических лиц  </w:t>
      </w:r>
      <w:r w:rsidR="00FD0D54" w:rsidRPr="005E29C8">
        <w:rPr>
          <w:sz w:val="28"/>
          <w:szCs w:val="28"/>
        </w:rPr>
        <w:t>у</w:t>
      </w:r>
      <w:r w:rsidR="00D04CF5">
        <w:rPr>
          <w:sz w:val="28"/>
          <w:szCs w:val="28"/>
        </w:rPr>
        <w:t>величились</w:t>
      </w:r>
      <w:r w:rsidR="00BB6802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 на  </w:t>
      </w:r>
      <w:r w:rsidR="00366BF1">
        <w:rPr>
          <w:sz w:val="28"/>
          <w:szCs w:val="28"/>
        </w:rPr>
        <w:t>15 079,6</w:t>
      </w:r>
      <w:r w:rsidR="00F066BE" w:rsidRPr="005E29C8">
        <w:rPr>
          <w:sz w:val="28"/>
          <w:szCs w:val="28"/>
        </w:rPr>
        <w:t xml:space="preserve"> </w:t>
      </w:r>
      <w:r w:rsidRPr="005E29C8">
        <w:rPr>
          <w:sz w:val="28"/>
          <w:szCs w:val="28"/>
        </w:rPr>
        <w:t xml:space="preserve">тыс. рублей или на </w:t>
      </w:r>
      <w:r w:rsidR="00366BF1">
        <w:rPr>
          <w:sz w:val="28"/>
          <w:szCs w:val="28"/>
        </w:rPr>
        <w:t>2,7</w:t>
      </w:r>
      <w:r w:rsidR="00D04A7A" w:rsidRPr="005E29C8">
        <w:rPr>
          <w:sz w:val="28"/>
          <w:szCs w:val="28"/>
        </w:rPr>
        <w:t xml:space="preserve">%. 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4A7A">
        <w:rPr>
          <w:sz w:val="28"/>
          <w:szCs w:val="28"/>
        </w:rPr>
        <w:t xml:space="preserve">налогообложения, составили </w:t>
      </w:r>
      <w:r w:rsidR="00366BF1">
        <w:rPr>
          <w:sz w:val="28"/>
          <w:szCs w:val="28"/>
        </w:rPr>
        <w:t>61 800,5</w:t>
      </w:r>
      <w:r w:rsidRPr="00D04A7A">
        <w:rPr>
          <w:sz w:val="28"/>
          <w:szCs w:val="28"/>
        </w:rPr>
        <w:t xml:space="preserve"> тыс. рублей или </w:t>
      </w:r>
      <w:r w:rsidR="00D04CF5">
        <w:rPr>
          <w:sz w:val="28"/>
          <w:szCs w:val="28"/>
        </w:rPr>
        <w:t>100,</w:t>
      </w:r>
      <w:r w:rsidR="00366BF1">
        <w:rPr>
          <w:sz w:val="28"/>
          <w:szCs w:val="28"/>
        </w:rPr>
        <w:t>9</w:t>
      </w:r>
      <w:r w:rsidRPr="00D04A7A">
        <w:rPr>
          <w:sz w:val="28"/>
          <w:szCs w:val="28"/>
        </w:rPr>
        <w:t>% от утвержденного</w:t>
      </w:r>
      <w:r w:rsidR="007872AC"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366BF1">
        <w:rPr>
          <w:sz w:val="28"/>
          <w:szCs w:val="28"/>
        </w:rPr>
        <w:t>5</w:t>
      </w:r>
      <w:r w:rsidRPr="00D04A7A">
        <w:rPr>
          <w:sz w:val="28"/>
          <w:szCs w:val="28"/>
        </w:rPr>
        <w:t xml:space="preserve"> года увеличились на </w:t>
      </w:r>
      <w:r w:rsidR="00366BF1">
        <w:rPr>
          <w:sz w:val="28"/>
          <w:szCs w:val="28"/>
        </w:rPr>
        <w:t xml:space="preserve">5 719,5 </w:t>
      </w:r>
      <w:proofErr w:type="spellStart"/>
      <w:r w:rsidR="00366BF1">
        <w:rPr>
          <w:sz w:val="28"/>
          <w:szCs w:val="28"/>
        </w:rPr>
        <w:t>тыс</w:t>
      </w:r>
      <w:proofErr w:type="gramStart"/>
      <w:r w:rsidR="00366BF1">
        <w:rPr>
          <w:sz w:val="28"/>
          <w:szCs w:val="28"/>
        </w:rPr>
        <w:t>.р</w:t>
      </w:r>
      <w:proofErr w:type="gramEnd"/>
      <w:r w:rsidR="00366BF1">
        <w:rPr>
          <w:sz w:val="28"/>
          <w:szCs w:val="28"/>
        </w:rPr>
        <w:t>уб</w:t>
      </w:r>
      <w:proofErr w:type="spellEnd"/>
      <w:r w:rsidR="00366BF1">
        <w:rPr>
          <w:sz w:val="28"/>
          <w:szCs w:val="28"/>
        </w:rPr>
        <w:t>. или на 10,2</w:t>
      </w:r>
      <w:r w:rsidRPr="00D04A7A">
        <w:rPr>
          <w:sz w:val="28"/>
          <w:szCs w:val="28"/>
        </w:rPr>
        <w:t>%.</w:t>
      </w:r>
    </w:p>
    <w:p w:rsid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4A7A" w:rsidRPr="00D04A7A">
        <w:rPr>
          <w:sz w:val="28"/>
          <w:szCs w:val="28"/>
        </w:rPr>
        <w:t xml:space="preserve">составили </w:t>
      </w:r>
      <w:r w:rsidR="00904AD1">
        <w:rPr>
          <w:sz w:val="28"/>
          <w:szCs w:val="28"/>
        </w:rPr>
        <w:t>109 257,8</w:t>
      </w:r>
      <w:r w:rsidR="00D04A7A" w:rsidRPr="00D04A7A">
        <w:rPr>
          <w:sz w:val="28"/>
          <w:szCs w:val="28"/>
        </w:rPr>
        <w:t xml:space="preserve"> тыс. рублей или </w:t>
      </w:r>
      <w:r w:rsidR="00904AD1">
        <w:rPr>
          <w:sz w:val="28"/>
          <w:szCs w:val="28"/>
        </w:rPr>
        <w:t>95,8</w:t>
      </w:r>
      <w:r w:rsidR="00D04A7A"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показателя и к уровню 201</w:t>
      </w:r>
      <w:r w:rsidR="00904AD1">
        <w:rPr>
          <w:sz w:val="28"/>
          <w:szCs w:val="28"/>
        </w:rPr>
        <w:t>5</w:t>
      </w:r>
      <w:r w:rsidR="00D04A7A" w:rsidRPr="00D04A7A">
        <w:rPr>
          <w:sz w:val="28"/>
          <w:szCs w:val="28"/>
        </w:rPr>
        <w:t xml:space="preserve"> года у</w:t>
      </w:r>
      <w:r w:rsidR="00904AD1">
        <w:rPr>
          <w:sz w:val="28"/>
          <w:szCs w:val="28"/>
        </w:rPr>
        <w:t xml:space="preserve">меньшились на 5 218,0 </w:t>
      </w:r>
      <w:proofErr w:type="spellStart"/>
      <w:r w:rsidR="00904AD1">
        <w:rPr>
          <w:sz w:val="28"/>
          <w:szCs w:val="28"/>
        </w:rPr>
        <w:t>тыс</w:t>
      </w:r>
      <w:proofErr w:type="gramStart"/>
      <w:r w:rsidR="00904AD1">
        <w:rPr>
          <w:sz w:val="28"/>
          <w:szCs w:val="28"/>
        </w:rPr>
        <w:t>.р</w:t>
      </w:r>
      <w:proofErr w:type="gramEnd"/>
      <w:r w:rsidR="00904AD1">
        <w:rPr>
          <w:sz w:val="28"/>
          <w:szCs w:val="28"/>
        </w:rPr>
        <w:t>уб</w:t>
      </w:r>
      <w:proofErr w:type="spellEnd"/>
      <w:r w:rsidR="00904AD1">
        <w:rPr>
          <w:sz w:val="28"/>
          <w:szCs w:val="28"/>
        </w:rPr>
        <w:t xml:space="preserve">. или </w:t>
      </w:r>
      <w:r w:rsidR="00084CE6"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 xml:space="preserve"> на </w:t>
      </w:r>
      <w:r w:rsidR="00904AD1">
        <w:rPr>
          <w:sz w:val="28"/>
          <w:szCs w:val="28"/>
        </w:rPr>
        <w:t>4,5</w:t>
      </w:r>
      <w:r>
        <w:rPr>
          <w:sz w:val="28"/>
          <w:szCs w:val="28"/>
        </w:rPr>
        <w:t>%.</w:t>
      </w:r>
    </w:p>
    <w:p w:rsidR="00904AD1" w:rsidRDefault="00904AD1" w:rsidP="00904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акциза по подакцизным товарам (продукции), производимым на территории Российской Федерации </w:t>
      </w:r>
      <w:r w:rsidRPr="00D04A7A">
        <w:rPr>
          <w:sz w:val="28"/>
          <w:szCs w:val="28"/>
        </w:rPr>
        <w:t xml:space="preserve">составили </w:t>
      </w:r>
      <w:r w:rsidR="002C61E9">
        <w:rPr>
          <w:sz w:val="28"/>
          <w:szCs w:val="28"/>
        </w:rPr>
        <w:t>40 453,1</w:t>
      </w:r>
      <w:r w:rsidRPr="00D04A7A">
        <w:rPr>
          <w:sz w:val="28"/>
          <w:szCs w:val="28"/>
        </w:rPr>
        <w:t xml:space="preserve"> тыс. рублей или </w:t>
      </w:r>
      <w:r w:rsidR="002C61E9">
        <w:rPr>
          <w:sz w:val="28"/>
          <w:szCs w:val="28"/>
        </w:rPr>
        <w:t>162,5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>
        <w:rPr>
          <w:sz w:val="28"/>
          <w:szCs w:val="28"/>
        </w:rPr>
        <w:t>5</w:t>
      </w:r>
      <w:r w:rsidRPr="00D04A7A">
        <w:rPr>
          <w:sz w:val="28"/>
          <w:szCs w:val="28"/>
        </w:rPr>
        <w:t xml:space="preserve"> года у</w:t>
      </w:r>
      <w:r w:rsidR="002C61E9">
        <w:rPr>
          <w:sz w:val="28"/>
          <w:szCs w:val="28"/>
        </w:rPr>
        <w:t xml:space="preserve">величились </w:t>
      </w:r>
      <w:r>
        <w:rPr>
          <w:sz w:val="28"/>
          <w:szCs w:val="28"/>
        </w:rPr>
        <w:t xml:space="preserve"> на </w:t>
      </w:r>
      <w:r w:rsidR="002C61E9">
        <w:rPr>
          <w:sz w:val="28"/>
          <w:szCs w:val="28"/>
        </w:rPr>
        <w:t>12 463,9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 </w:t>
      </w:r>
      <w:r w:rsidRPr="00D04A7A">
        <w:rPr>
          <w:sz w:val="28"/>
          <w:szCs w:val="28"/>
        </w:rPr>
        <w:t xml:space="preserve">на </w:t>
      </w:r>
      <w:r w:rsidR="002C61E9">
        <w:rPr>
          <w:sz w:val="28"/>
          <w:szCs w:val="28"/>
        </w:rPr>
        <w:t>44,5</w:t>
      </w:r>
      <w:r>
        <w:rPr>
          <w:sz w:val="28"/>
          <w:szCs w:val="28"/>
        </w:rPr>
        <w:t>%.</w:t>
      </w:r>
    </w:p>
    <w:p w:rsidR="00C82A09" w:rsidRP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 w:rsidR="00904AD1">
        <w:rPr>
          <w:sz w:val="28"/>
          <w:szCs w:val="28"/>
        </w:rPr>
        <w:t>327,4</w:t>
      </w:r>
      <w:r w:rsidRPr="00D04A7A">
        <w:rPr>
          <w:sz w:val="28"/>
          <w:szCs w:val="28"/>
        </w:rPr>
        <w:t xml:space="preserve"> тыс. рублей или </w:t>
      </w:r>
      <w:r w:rsidR="00904AD1">
        <w:rPr>
          <w:sz w:val="28"/>
          <w:szCs w:val="28"/>
        </w:rPr>
        <w:t>100,1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904AD1">
        <w:rPr>
          <w:sz w:val="28"/>
          <w:szCs w:val="28"/>
        </w:rPr>
        <w:t>5</w:t>
      </w:r>
      <w:r w:rsidRPr="00D04A7A">
        <w:rPr>
          <w:sz w:val="28"/>
          <w:szCs w:val="28"/>
        </w:rPr>
        <w:t xml:space="preserve"> года у</w:t>
      </w:r>
      <w:r w:rsidR="00904AD1">
        <w:rPr>
          <w:sz w:val="28"/>
          <w:szCs w:val="28"/>
        </w:rPr>
        <w:t>величились</w:t>
      </w:r>
      <w:r w:rsidRPr="00D04A7A">
        <w:rPr>
          <w:sz w:val="28"/>
          <w:szCs w:val="28"/>
        </w:rPr>
        <w:t xml:space="preserve"> на </w:t>
      </w:r>
      <w:r w:rsidR="00904AD1">
        <w:rPr>
          <w:sz w:val="28"/>
          <w:szCs w:val="28"/>
        </w:rPr>
        <w:t>2,2</w:t>
      </w:r>
      <w:r>
        <w:rPr>
          <w:sz w:val="28"/>
          <w:szCs w:val="28"/>
        </w:rPr>
        <w:t>%.</w:t>
      </w:r>
    </w:p>
    <w:p w:rsidR="00C82A09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от государственной пошлины составили </w:t>
      </w:r>
      <w:r w:rsidR="00904AD1">
        <w:rPr>
          <w:sz w:val="28"/>
          <w:szCs w:val="28"/>
        </w:rPr>
        <w:t>19 762,2</w:t>
      </w:r>
      <w:r w:rsidR="00D04A7A" w:rsidRPr="00D04A7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904AD1">
        <w:rPr>
          <w:sz w:val="28"/>
          <w:szCs w:val="28"/>
        </w:rPr>
        <w:t>95,9</w:t>
      </w:r>
      <w:r w:rsidR="00D04A7A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904AD1">
        <w:rPr>
          <w:sz w:val="28"/>
          <w:szCs w:val="28"/>
        </w:rPr>
        <w:t>5</w:t>
      </w:r>
      <w:r w:rsidR="00D04A7A"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04A7A">
        <w:rPr>
          <w:sz w:val="26"/>
          <w:szCs w:val="26"/>
        </w:rPr>
        <w:t>у</w:t>
      </w:r>
      <w:r w:rsidR="00904AD1">
        <w:rPr>
          <w:sz w:val="26"/>
          <w:szCs w:val="26"/>
        </w:rPr>
        <w:t>меньшились</w:t>
      </w:r>
      <w:r>
        <w:rPr>
          <w:sz w:val="26"/>
          <w:szCs w:val="26"/>
        </w:rPr>
        <w:t xml:space="preserve"> </w:t>
      </w:r>
      <w:r w:rsidR="00D04A7A">
        <w:rPr>
          <w:sz w:val="26"/>
          <w:szCs w:val="26"/>
        </w:rPr>
        <w:t xml:space="preserve">на </w:t>
      </w:r>
      <w:r w:rsidR="00904AD1">
        <w:rPr>
          <w:sz w:val="26"/>
          <w:szCs w:val="26"/>
        </w:rPr>
        <w:t>18,7</w:t>
      </w:r>
      <w:r w:rsidR="00D04A7A">
        <w:rPr>
          <w:sz w:val="26"/>
          <w:szCs w:val="26"/>
        </w:rPr>
        <w:t>%.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28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7F0E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82301" w:rsidRPr="00CD1537">
        <w:rPr>
          <w:sz w:val="28"/>
          <w:szCs w:val="28"/>
        </w:rPr>
        <w:t xml:space="preserve">Доходы бюджета от налога, взимаемого в связи с применением патентной системы налогообложения </w:t>
      </w:r>
      <w:r w:rsidR="00B82301">
        <w:rPr>
          <w:sz w:val="28"/>
          <w:szCs w:val="28"/>
        </w:rPr>
        <w:t>в 201</w:t>
      </w:r>
      <w:r w:rsidR="00904AD1">
        <w:rPr>
          <w:sz w:val="28"/>
          <w:szCs w:val="28"/>
        </w:rPr>
        <w:t>6</w:t>
      </w:r>
      <w:r w:rsidR="00B82301">
        <w:rPr>
          <w:sz w:val="28"/>
          <w:szCs w:val="28"/>
        </w:rPr>
        <w:t xml:space="preserve"> </w:t>
      </w:r>
      <w:r w:rsidR="00B82301" w:rsidRPr="00CD1537">
        <w:rPr>
          <w:sz w:val="28"/>
          <w:szCs w:val="28"/>
        </w:rPr>
        <w:t>год</w:t>
      </w:r>
      <w:r w:rsidR="00B82301">
        <w:rPr>
          <w:sz w:val="28"/>
          <w:szCs w:val="28"/>
        </w:rPr>
        <w:t>у</w:t>
      </w:r>
      <w:r w:rsidR="00B82301" w:rsidRPr="00CD1537">
        <w:rPr>
          <w:sz w:val="28"/>
          <w:szCs w:val="28"/>
        </w:rPr>
        <w:t xml:space="preserve"> состав</w:t>
      </w:r>
      <w:r w:rsidR="00B82301">
        <w:rPr>
          <w:sz w:val="28"/>
          <w:szCs w:val="28"/>
        </w:rPr>
        <w:t xml:space="preserve">или </w:t>
      </w:r>
      <w:r w:rsidR="00B82301" w:rsidRPr="00CD1537">
        <w:rPr>
          <w:sz w:val="28"/>
          <w:szCs w:val="28"/>
        </w:rPr>
        <w:t xml:space="preserve"> </w:t>
      </w:r>
      <w:r w:rsidR="00904AD1">
        <w:rPr>
          <w:sz w:val="28"/>
          <w:szCs w:val="28"/>
        </w:rPr>
        <w:t>1 097,8</w:t>
      </w:r>
      <w:r w:rsidR="00B82301" w:rsidRPr="00CD1537">
        <w:rPr>
          <w:sz w:val="28"/>
          <w:szCs w:val="28"/>
        </w:rPr>
        <w:t xml:space="preserve"> </w:t>
      </w:r>
      <w:proofErr w:type="spellStart"/>
      <w:r w:rsidR="00B82301" w:rsidRPr="00CD1537">
        <w:rPr>
          <w:sz w:val="28"/>
          <w:szCs w:val="28"/>
        </w:rPr>
        <w:t>тыс</w:t>
      </w:r>
      <w:proofErr w:type="gramStart"/>
      <w:r w:rsidR="00B82301" w:rsidRPr="00CD1537">
        <w:rPr>
          <w:sz w:val="28"/>
          <w:szCs w:val="28"/>
        </w:rPr>
        <w:t>.р</w:t>
      </w:r>
      <w:proofErr w:type="gramEnd"/>
      <w:r w:rsidR="00B82301" w:rsidRPr="00CD1537">
        <w:rPr>
          <w:sz w:val="28"/>
          <w:szCs w:val="28"/>
        </w:rPr>
        <w:t>ублей</w:t>
      </w:r>
      <w:proofErr w:type="spellEnd"/>
      <w:r w:rsidR="008B5704">
        <w:rPr>
          <w:sz w:val="28"/>
          <w:szCs w:val="28"/>
        </w:rPr>
        <w:t xml:space="preserve"> </w:t>
      </w:r>
      <w:r w:rsidR="008B5704" w:rsidRPr="00D04A7A">
        <w:rPr>
          <w:sz w:val="28"/>
          <w:szCs w:val="28"/>
        </w:rPr>
        <w:t>или</w:t>
      </w:r>
      <w:r w:rsidR="008B5704">
        <w:rPr>
          <w:sz w:val="28"/>
          <w:szCs w:val="28"/>
        </w:rPr>
        <w:t xml:space="preserve"> </w:t>
      </w:r>
      <w:r w:rsidR="00904AD1">
        <w:rPr>
          <w:sz w:val="28"/>
          <w:szCs w:val="28"/>
        </w:rPr>
        <w:t>115,2</w:t>
      </w:r>
      <w:r w:rsidR="008B5704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904AD1">
        <w:rPr>
          <w:sz w:val="28"/>
          <w:szCs w:val="28"/>
        </w:rPr>
        <w:t>5</w:t>
      </w:r>
      <w:r w:rsidR="008B5704" w:rsidRPr="00D04A7A">
        <w:rPr>
          <w:sz w:val="28"/>
          <w:szCs w:val="28"/>
        </w:rPr>
        <w:t xml:space="preserve"> года</w:t>
      </w:r>
      <w:r w:rsidR="008B5704">
        <w:rPr>
          <w:sz w:val="28"/>
          <w:szCs w:val="28"/>
        </w:rPr>
        <w:t xml:space="preserve"> </w:t>
      </w:r>
      <w:r w:rsidR="008B5704">
        <w:rPr>
          <w:sz w:val="26"/>
          <w:szCs w:val="26"/>
        </w:rPr>
        <w:t xml:space="preserve">увеличились на </w:t>
      </w:r>
      <w:r w:rsidR="00904AD1">
        <w:rPr>
          <w:sz w:val="26"/>
          <w:szCs w:val="26"/>
        </w:rPr>
        <w:t>86,6</w:t>
      </w:r>
      <w:r w:rsidR="008B5704">
        <w:rPr>
          <w:sz w:val="26"/>
          <w:szCs w:val="26"/>
        </w:rPr>
        <w:t>%.</w:t>
      </w:r>
      <w:r w:rsidR="00B82301">
        <w:rPr>
          <w:sz w:val="28"/>
          <w:szCs w:val="28"/>
        </w:rPr>
        <w:t xml:space="preserve"> </w:t>
      </w:r>
    </w:p>
    <w:p w:rsidR="00904AD1" w:rsidRPr="00D04A7A" w:rsidRDefault="00904AD1" w:rsidP="00904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налога на добычу общераспространенных полезных ископаемых </w:t>
      </w:r>
      <w:r w:rsidRPr="00D04A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2 224,7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96,3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</w:t>
      </w:r>
      <w:r>
        <w:rPr>
          <w:sz w:val="28"/>
          <w:szCs w:val="28"/>
        </w:rPr>
        <w:t>.</w:t>
      </w:r>
    </w:p>
    <w:p w:rsidR="00F53086" w:rsidRDefault="009A3016" w:rsidP="00F213F6">
      <w:pPr>
        <w:spacing w:before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3F6" w:rsidRPr="00F213F6">
        <w:rPr>
          <w:b/>
          <w:sz w:val="28"/>
          <w:szCs w:val="28"/>
        </w:rPr>
        <w:t>Н</w:t>
      </w:r>
      <w:r w:rsidR="00F53086" w:rsidRPr="00F213F6">
        <w:rPr>
          <w:b/>
          <w:sz w:val="28"/>
          <w:szCs w:val="28"/>
        </w:rPr>
        <w:t>ен</w:t>
      </w:r>
      <w:r w:rsidR="00F53086" w:rsidRPr="00F53086">
        <w:rPr>
          <w:b/>
          <w:sz w:val="28"/>
          <w:szCs w:val="28"/>
        </w:rPr>
        <w:t>алоговые доходы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t>Н</w:t>
      </w:r>
      <w:r w:rsidR="004929DA" w:rsidRPr="00F53086">
        <w:rPr>
          <w:sz w:val="28"/>
          <w:szCs w:val="28"/>
        </w:rPr>
        <w:t>еналоговых доходов</w:t>
      </w:r>
      <w:r w:rsidR="004929DA">
        <w:rPr>
          <w:sz w:val="28"/>
          <w:szCs w:val="28"/>
        </w:rPr>
        <w:t xml:space="preserve"> в бюджет муниципального района поступило в сумме </w:t>
      </w:r>
      <w:r w:rsidR="002C61E9">
        <w:rPr>
          <w:sz w:val="28"/>
          <w:szCs w:val="28"/>
        </w:rPr>
        <w:t>161 717,3</w:t>
      </w:r>
      <w:r w:rsidR="004929DA">
        <w:rPr>
          <w:sz w:val="28"/>
          <w:szCs w:val="28"/>
        </w:rPr>
        <w:t xml:space="preserve"> тыс. рублей, или  </w:t>
      </w:r>
      <w:r w:rsidR="002C61E9">
        <w:rPr>
          <w:sz w:val="28"/>
          <w:szCs w:val="28"/>
        </w:rPr>
        <w:t>108,8</w:t>
      </w:r>
      <w:r w:rsidR="004929DA">
        <w:rPr>
          <w:sz w:val="28"/>
          <w:szCs w:val="28"/>
        </w:rPr>
        <w:t xml:space="preserve">% от уточненного годового плана. Удельный вес неналоговых доходов в общей сумме всех поступлений составил </w:t>
      </w:r>
      <w:r w:rsidR="002C61E9">
        <w:rPr>
          <w:sz w:val="28"/>
          <w:szCs w:val="28"/>
        </w:rPr>
        <w:t>4,3</w:t>
      </w:r>
      <w:r w:rsidR="004929DA">
        <w:rPr>
          <w:sz w:val="28"/>
          <w:szCs w:val="28"/>
        </w:rPr>
        <w:t>% .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Структура неналоговых доходов представлена на диаграмме 5.</w:t>
      </w:r>
    </w:p>
    <w:p w:rsidR="009719FF" w:rsidRDefault="009719FF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Диаграмма 5.</w:t>
      </w:r>
    </w:p>
    <w:p w:rsidR="009719FF" w:rsidRDefault="009719FF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3093D" w:rsidRDefault="0043093D" w:rsidP="00F213F6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213F6">
        <w:rPr>
          <w:sz w:val="26"/>
          <w:szCs w:val="26"/>
        </w:rPr>
        <w:t xml:space="preserve">                            </w:t>
      </w:r>
      <w:r w:rsidRPr="0043093D">
        <w:rPr>
          <w:b/>
          <w:i/>
          <w:sz w:val="26"/>
          <w:szCs w:val="26"/>
        </w:rPr>
        <w:t xml:space="preserve">Структура неналоговых доходов </w:t>
      </w:r>
    </w:p>
    <w:p w:rsidR="0043093D" w:rsidRPr="0043093D" w:rsidRDefault="0043093D" w:rsidP="00F213F6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>бюджета Альметьевского муниципального района</w:t>
      </w:r>
      <w:r>
        <w:rPr>
          <w:b/>
          <w:i/>
          <w:sz w:val="26"/>
          <w:szCs w:val="26"/>
        </w:rPr>
        <w:t xml:space="preserve"> в 201</w:t>
      </w:r>
      <w:r w:rsidR="00C61C52"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 xml:space="preserve"> году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BAE213D" wp14:editId="423E191F">
            <wp:extent cx="6103620" cy="30480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5B64" w:rsidRDefault="0043093D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4B02" w:rsidRDefault="007B5B64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093D">
        <w:rPr>
          <w:sz w:val="28"/>
          <w:szCs w:val="28"/>
        </w:rPr>
        <w:t xml:space="preserve"> </w:t>
      </w:r>
      <w:r w:rsidR="004929DA">
        <w:rPr>
          <w:sz w:val="28"/>
          <w:szCs w:val="28"/>
        </w:rPr>
        <w:t>Основными источниками неналоговых поступлений в 201</w:t>
      </w:r>
      <w:r w:rsidR="008A2BD9">
        <w:rPr>
          <w:sz w:val="28"/>
          <w:szCs w:val="28"/>
        </w:rPr>
        <w:t>6</w:t>
      </w:r>
      <w:r w:rsidR="004929DA">
        <w:rPr>
          <w:sz w:val="28"/>
          <w:szCs w:val="28"/>
        </w:rPr>
        <w:t xml:space="preserve"> году являлись доходы от </w:t>
      </w:r>
      <w:r w:rsidR="00955190"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4929DA">
        <w:rPr>
          <w:sz w:val="28"/>
          <w:szCs w:val="28"/>
        </w:rPr>
        <w:t xml:space="preserve">, поступившие в объеме </w:t>
      </w:r>
      <w:r w:rsidR="008A2BD9">
        <w:rPr>
          <w:sz w:val="28"/>
          <w:szCs w:val="28"/>
        </w:rPr>
        <w:t>55 119,2</w:t>
      </w:r>
      <w:r w:rsidR="004929DA">
        <w:rPr>
          <w:sz w:val="28"/>
          <w:szCs w:val="28"/>
        </w:rPr>
        <w:t xml:space="preserve"> тыс. рублей, или </w:t>
      </w:r>
      <w:r w:rsidR="008A2BD9">
        <w:rPr>
          <w:sz w:val="28"/>
          <w:szCs w:val="28"/>
        </w:rPr>
        <w:t>101,1</w:t>
      </w:r>
      <w:r w:rsidR="004929DA">
        <w:rPr>
          <w:sz w:val="28"/>
          <w:szCs w:val="28"/>
        </w:rPr>
        <w:t xml:space="preserve">% к уточненному </w:t>
      </w:r>
      <w:r w:rsidR="0043093D">
        <w:rPr>
          <w:sz w:val="28"/>
          <w:szCs w:val="28"/>
        </w:rPr>
        <w:t xml:space="preserve">показателю и </w:t>
      </w:r>
      <w:r w:rsidR="004E29D0">
        <w:rPr>
          <w:sz w:val="28"/>
          <w:szCs w:val="28"/>
        </w:rPr>
        <w:t>у</w:t>
      </w:r>
      <w:r w:rsidR="008A2BD9">
        <w:rPr>
          <w:sz w:val="28"/>
          <w:szCs w:val="28"/>
        </w:rPr>
        <w:t>меньшились</w:t>
      </w:r>
      <w:r w:rsidR="0043093D">
        <w:rPr>
          <w:sz w:val="28"/>
          <w:szCs w:val="28"/>
        </w:rPr>
        <w:t xml:space="preserve"> по сравнению с 201</w:t>
      </w:r>
      <w:r w:rsidR="008A2BD9">
        <w:rPr>
          <w:sz w:val="28"/>
          <w:szCs w:val="28"/>
        </w:rPr>
        <w:t>5</w:t>
      </w:r>
      <w:r w:rsidR="0043093D">
        <w:rPr>
          <w:sz w:val="28"/>
          <w:szCs w:val="28"/>
        </w:rPr>
        <w:t xml:space="preserve"> годом на  </w:t>
      </w:r>
      <w:r w:rsidR="008A2BD9">
        <w:rPr>
          <w:sz w:val="28"/>
          <w:szCs w:val="28"/>
        </w:rPr>
        <w:t xml:space="preserve">1 960,8 </w:t>
      </w:r>
      <w:proofErr w:type="spellStart"/>
      <w:r w:rsidR="0043093D">
        <w:rPr>
          <w:sz w:val="28"/>
          <w:szCs w:val="28"/>
        </w:rPr>
        <w:t>тыс</w:t>
      </w:r>
      <w:proofErr w:type="gramStart"/>
      <w:r w:rsidR="0043093D">
        <w:rPr>
          <w:sz w:val="28"/>
          <w:szCs w:val="28"/>
        </w:rPr>
        <w:t>.р</w:t>
      </w:r>
      <w:proofErr w:type="gramEnd"/>
      <w:r w:rsidR="0043093D">
        <w:rPr>
          <w:sz w:val="28"/>
          <w:szCs w:val="28"/>
        </w:rPr>
        <w:t>уб</w:t>
      </w:r>
      <w:proofErr w:type="spellEnd"/>
      <w:r w:rsidR="0043093D">
        <w:rPr>
          <w:sz w:val="28"/>
          <w:szCs w:val="28"/>
        </w:rPr>
        <w:t xml:space="preserve">. или на </w:t>
      </w:r>
      <w:r w:rsidR="008A2BD9">
        <w:rPr>
          <w:sz w:val="28"/>
          <w:szCs w:val="28"/>
        </w:rPr>
        <w:t>3,4</w:t>
      </w:r>
      <w:r w:rsidR="00544B02">
        <w:rPr>
          <w:sz w:val="28"/>
          <w:szCs w:val="28"/>
        </w:rPr>
        <w:t>%.</w:t>
      </w:r>
    </w:p>
    <w:p w:rsidR="00544B02" w:rsidRDefault="00544B02" w:rsidP="00544B0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4929DA">
        <w:rPr>
          <w:sz w:val="28"/>
          <w:szCs w:val="28"/>
        </w:rPr>
        <w:t xml:space="preserve"> </w:t>
      </w:r>
      <w:r w:rsidR="00CB246D">
        <w:rPr>
          <w:sz w:val="26"/>
          <w:szCs w:val="26"/>
        </w:rPr>
        <w:t xml:space="preserve">Основная доля в доходах от использования имущества, находящегося в муниципальной собственности принадлежит доходам, полученным в виде арендной </w:t>
      </w:r>
      <w:r w:rsidR="00CB246D" w:rsidRPr="00AC09F9">
        <w:rPr>
          <w:sz w:val="28"/>
          <w:szCs w:val="28"/>
        </w:rPr>
        <w:t>либо иной платы за передачу в возмездное</w:t>
      </w:r>
      <w:r w:rsidR="00CB246D">
        <w:rPr>
          <w:sz w:val="28"/>
          <w:szCs w:val="28"/>
        </w:rPr>
        <w:t xml:space="preserve"> </w:t>
      </w:r>
      <w:r w:rsidR="00CB246D" w:rsidRPr="00AC09F9">
        <w:rPr>
          <w:sz w:val="28"/>
          <w:szCs w:val="28"/>
        </w:rPr>
        <w:t>пользование  муниципального имущества</w:t>
      </w:r>
      <w:r w:rsidR="00CB246D">
        <w:rPr>
          <w:sz w:val="28"/>
          <w:szCs w:val="28"/>
        </w:rPr>
        <w:t>, более 9</w:t>
      </w:r>
      <w:r w:rsidR="00955190">
        <w:rPr>
          <w:sz w:val="28"/>
          <w:szCs w:val="28"/>
        </w:rPr>
        <w:t>9</w:t>
      </w:r>
      <w:r w:rsidR="00CB246D">
        <w:rPr>
          <w:sz w:val="28"/>
          <w:szCs w:val="28"/>
        </w:rPr>
        <w:t>%.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AC09F9">
        <w:rPr>
          <w:sz w:val="28"/>
          <w:szCs w:val="28"/>
        </w:rPr>
        <w:t>Доходы, полученные в виде арендной либо иной платы за передачу в возмездное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 xml:space="preserve">пользование  муниципального имущества, составили </w:t>
      </w:r>
      <w:r w:rsidR="008A2BD9">
        <w:rPr>
          <w:sz w:val="28"/>
          <w:szCs w:val="28"/>
        </w:rPr>
        <w:t>54 800,6</w:t>
      </w:r>
      <w:r w:rsidRPr="00AC09F9">
        <w:rPr>
          <w:sz w:val="28"/>
          <w:szCs w:val="28"/>
        </w:rPr>
        <w:t xml:space="preserve"> тыс. рублей или</w:t>
      </w:r>
      <w:r w:rsidR="00AC09F9">
        <w:rPr>
          <w:sz w:val="28"/>
          <w:szCs w:val="28"/>
        </w:rPr>
        <w:t xml:space="preserve"> </w:t>
      </w:r>
      <w:r w:rsidR="00955190">
        <w:rPr>
          <w:sz w:val="28"/>
          <w:szCs w:val="28"/>
        </w:rPr>
        <w:t>10</w:t>
      </w:r>
      <w:r w:rsidR="008A2BD9">
        <w:rPr>
          <w:sz w:val="28"/>
          <w:szCs w:val="28"/>
        </w:rPr>
        <w:t>1,1</w:t>
      </w:r>
      <w:r w:rsidRPr="00AC09F9">
        <w:rPr>
          <w:sz w:val="28"/>
          <w:szCs w:val="28"/>
        </w:rPr>
        <w:t>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арендная плата за земельные участки, а также средства от продажи права на заключение договоров аренды земли –  </w:t>
      </w:r>
      <w:r w:rsidR="008A2BD9">
        <w:rPr>
          <w:sz w:val="28"/>
          <w:szCs w:val="28"/>
        </w:rPr>
        <w:t>49 569,7</w:t>
      </w:r>
      <w:r w:rsidRPr="00AC09F9">
        <w:rPr>
          <w:sz w:val="28"/>
          <w:szCs w:val="28"/>
        </w:rPr>
        <w:t xml:space="preserve"> тыс. рублей;</w:t>
      </w:r>
    </w:p>
    <w:p w:rsidR="00544B02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- доходы от сдачи в аренду имущества, находящегося в оперативном управлении</w:t>
      </w:r>
      <w:r w:rsid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органов местного самоуправления</w:t>
      </w:r>
      <w:r w:rsidR="00AC09F9" w:rsidRPr="00AC09F9">
        <w:rPr>
          <w:sz w:val="28"/>
          <w:szCs w:val="28"/>
        </w:rPr>
        <w:t xml:space="preserve"> </w:t>
      </w:r>
      <w:r w:rsidRPr="00AC09F9">
        <w:rPr>
          <w:sz w:val="28"/>
          <w:szCs w:val="28"/>
        </w:rPr>
        <w:t>и созданных ими учреждений –</w:t>
      </w:r>
      <w:r w:rsidR="00AC09F9" w:rsidRPr="00AC09F9">
        <w:rPr>
          <w:sz w:val="28"/>
          <w:szCs w:val="28"/>
        </w:rPr>
        <w:t xml:space="preserve">  </w:t>
      </w:r>
      <w:r w:rsidR="001148A7">
        <w:rPr>
          <w:sz w:val="28"/>
          <w:szCs w:val="28"/>
        </w:rPr>
        <w:t>5 230,9</w:t>
      </w:r>
      <w:r w:rsidRPr="00AC09F9">
        <w:rPr>
          <w:sz w:val="28"/>
          <w:szCs w:val="28"/>
        </w:rPr>
        <w:t xml:space="preserve"> тыс. рублей.</w:t>
      </w:r>
    </w:p>
    <w:p w:rsidR="00CB246D" w:rsidRDefault="001148A7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46D">
        <w:rPr>
          <w:sz w:val="28"/>
          <w:szCs w:val="28"/>
        </w:rPr>
        <w:t xml:space="preserve"> Доходы в виде прибыли, приходящейся на доли в уставных (складочных) капиталах обществ, или дивидендов по акциям, принадлежащим муниципальному району </w:t>
      </w:r>
      <w:r w:rsidR="00CB246D" w:rsidRPr="00AC09F9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318,5</w:t>
      </w:r>
      <w:r w:rsidR="00955190">
        <w:rPr>
          <w:sz w:val="28"/>
          <w:szCs w:val="28"/>
        </w:rPr>
        <w:t xml:space="preserve"> </w:t>
      </w:r>
      <w:r w:rsidR="00CB246D" w:rsidRPr="00AC09F9">
        <w:rPr>
          <w:sz w:val="28"/>
          <w:szCs w:val="28"/>
        </w:rPr>
        <w:t>тыс. рублей или</w:t>
      </w:r>
      <w:r w:rsidR="00CB246D">
        <w:rPr>
          <w:sz w:val="28"/>
          <w:szCs w:val="28"/>
        </w:rPr>
        <w:t xml:space="preserve"> </w:t>
      </w:r>
      <w:r>
        <w:rPr>
          <w:sz w:val="28"/>
          <w:szCs w:val="28"/>
        </w:rPr>
        <w:t>97,1</w:t>
      </w:r>
      <w:r w:rsidR="00CB246D" w:rsidRPr="00AC09F9">
        <w:rPr>
          <w:sz w:val="28"/>
          <w:szCs w:val="28"/>
        </w:rPr>
        <w:t>% от утвержденного показателя</w:t>
      </w:r>
      <w:r w:rsidR="00AD733E">
        <w:rPr>
          <w:sz w:val="28"/>
          <w:szCs w:val="28"/>
        </w:rPr>
        <w:t>.</w:t>
      </w:r>
    </w:p>
    <w:p w:rsidR="00AD733E" w:rsidRPr="00AC09F9" w:rsidRDefault="00AD733E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от перечисления </w:t>
      </w:r>
      <w:proofErr w:type="gramStart"/>
      <w:r>
        <w:rPr>
          <w:sz w:val="28"/>
          <w:szCs w:val="28"/>
        </w:rPr>
        <w:t xml:space="preserve">части прибыли муниципальных унитарных предприятий, остающейся после уплаты налогов и обязательных платежей </w:t>
      </w:r>
      <w:r w:rsidR="001148A7">
        <w:rPr>
          <w:sz w:val="28"/>
          <w:szCs w:val="28"/>
        </w:rPr>
        <w:t>в 2016 году в бюджет не поступили</w:t>
      </w:r>
      <w:proofErr w:type="gramEnd"/>
      <w:r w:rsidR="001148A7">
        <w:rPr>
          <w:sz w:val="28"/>
          <w:szCs w:val="28"/>
        </w:rPr>
        <w:t>.</w:t>
      </w:r>
    </w:p>
    <w:p w:rsidR="00544B02" w:rsidRP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       </w:t>
      </w:r>
      <w:r w:rsidR="00544B02" w:rsidRPr="00053FC4">
        <w:rPr>
          <w:sz w:val="28"/>
          <w:szCs w:val="28"/>
        </w:rPr>
        <w:t>Платежи при пользовании природными ресурсами</w:t>
      </w:r>
      <w:r w:rsidR="00544B02" w:rsidRPr="00AC09F9">
        <w:rPr>
          <w:sz w:val="28"/>
          <w:szCs w:val="28"/>
        </w:rPr>
        <w:t xml:space="preserve"> составили</w:t>
      </w:r>
      <w:r w:rsidRPr="00AC09F9">
        <w:rPr>
          <w:sz w:val="28"/>
          <w:szCs w:val="28"/>
        </w:rPr>
        <w:t xml:space="preserve">  </w:t>
      </w:r>
      <w:r w:rsidR="001148A7">
        <w:rPr>
          <w:sz w:val="28"/>
          <w:szCs w:val="28"/>
        </w:rPr>
        <w:t>25 383,1</w:t>
      </w:r>
      <w:r w:rsidR="00544B02" w:rsidRPr="00AC09F9">
        <w:rPr>
          <w:sz w:val="28"/>
          <w:szCs w:val="28"/>
        </w:rPr>
        <w:t xml:space="preserve"> тыс. рублей или </w:t>
      </w:r>
      <w:r w:rsidR="00955190">
        <w:rPr>
          <w:sz w:val="28"/>
          <w:szCs w:val="28"/>
        </w:rPr>
        <w:t>10</w:t>
      </w:r>
      <w:r w:rsidR="001148A7">
        <w:rPr>
          <w:sz w:val="28"/>
          <w:szCs w:val="28"/>
        </w:rPr>
        <w:t>1,6</w:t>
      </w:r>
      <w:r w:rsidR="00955190">
        <w:rPr>
          <w:sz w:val="28"/>
          <w:szCs w:val="28"/>
        </w:rPr>
        <w:t xml:space="preserve"> </w:t>
      </w:r>
      <w:r w:rsidR="00544B02" w:rsidRPr="00AC09F9">
        <w:rPr>
          <w:sz w:val="28"/>
          <w:szCs w:val="28"/>
        </w:rPr>
        <w:t>% от утвержденного показателя, в том числе:</w:t>
      </w:r>
    </w:p>
    <w:p w:rsidR="00544B02" w:rsidRPr="00AC09F9" w:rsidRDefault="00544B02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t xml:space="preserve">- плата за негативное воздействие на окружающую среду – </w:t>
      </w:r>
      <w:r w:rsidR="00AC09F9" w:rsidRPr="00AC09F9">
        <w:rPr>
          <w:sz w:val="28"/>
          <w:szCs w:val="28"/>
        </w:rPr>
        <w:t xml:space="preserve"> </w:t>
      </w:r>
      <w:r w:rsidR="001148A7">
        <w:rPr>
          <w:sz w:val="28"/>
          <w:szCs w:val="28"/>
        </w:rPr>
        <w:t>25 383,1</w:t>
      </w:r>
      <w:r w:rsidRPr="00AC09F9">
        <w:rPr>
          <w:sz w:val="28"/>
          <w:szCs w:val="28"/>
        </w:rPr>
        <w:t xml:space="preserve"> тыс. рублей</w:t>
      </w:r>
      <w:r w:rsidR="00AC09F9" w:rsidRPr="00AC09F9">
        <w:rPr>
          <w:sz w:val="28"/>
          <w:szCs w:val="28"/>
        </w:rPr>
        <w:t>.</w:t>
      </w:r>
    </w:p>
    <w:p w:rsidR="00AC09F9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9F9">
        <w:rPr>
          <w:sz w:val="28"/>
          <w:szCs w:val="28"/>
        </w:rPr>
        <w:lastRenderedPageBreak/>
        <w:t xml:space="preserve">      </w:t>
      </w:r>
      <w:r w:rsidR="00544B02" w:rsidRPr="00053FC4">
        <w:rPr>
          <w:sz w:val="28"/>
          <w:szCs w:val="28"/>
        </w:rPr>
        <w:t>Доходы от оказания платных услуг и компенсации затрат государства</w:t>
      </w:r>
      <w:r w:rsidR="00544B02" w:rsidRPr="00AC09F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 </w:t>
      </w:r>
      <w:r w:rsidR="001148A7">
        <w:rPr>
          <w:sz w:val="28"/>
          <w:szCs w:val="28"/>
        </w:rPr>
        <w:t>36 019,0</w:t>
      </w:r>
      <w:r w:rsidR="00544B02" w:rsidRPr="00AC09F9">
        <w:rPr>
          <w:sz w:val="28"/>
          <w:szCs w:val="28"/>
        </w:rPr>
        <w:t xml:space="preserve"> тыс. рублей или </w:t>
      </w:r>
      <w:r w:rsidR="001148A7">
        <w:rPr>
          <w:sz w:val="28"/>
          <w:szCs w:val="28"/>
        </w:rPr>
        <w:t>170,5</w:t>
      </w:r>
      <w:r w:rsidR="00544B02" w:rsidRPr="00AC09F9">
        <w:rPr>
          <w:sz w:val="28"/>
          <w:szCs w:val="28"/>
        </w:rPr>
        <w:t xml:space="preserve">% от утвержденного показателя, </w:t>
      </w:r>
      <w:r>
        <w:rPr>
          <w:sz w:val="28"/>
          <w:szCs w:val="28"/>
        </w:rPr>
        <w:t>в том числе:</w:t>
      </w:r>
    </w:p>
    <w:p w:rsidR="004929DA" w:rsidRDefault="00AC09F9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от оказания </w:t>
      </w:r>
      <w:r w:rsidR="00780438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>услуг</w:t>
      </w:r>
      <w:r w:rsidR="00780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148A7">
        <w:rPr>
          <w:sz w:val="28"/>
          <w:szCs w:val="28"/>
        </w:rPr>
        <w:t>42,3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80438" w:rsidRDefault="00780438" w:rsidP="00AC09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от компенсации затрат государства – 3</w:t>
      </w:r>
      <w:r w:rsidR="001148A7">
        <w:rPr>
          <w:sz w:val="28"/>
          <w:szCs w:val="28"/>
        </w:rPr>
        <w:t>5 976,6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B550D" w:rsidRPr="006B550D" w:rsidRDefault="00B75D20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50D">
        <w:rPr>
          <w:sz w:val="26"/>
          <w:szCs w:val="26"/>
        </w:rPr>
        <w:t xml:space="preserve"> </w:t>
      </w:r>
      <w:r w:rsidR="006B550D" w:rsidRPr="00053FC4">
        <w:rPr>
          <w:sz w:val="28"/>
          <w:szCs w:val="28"/>
        </w:rPr>
        <w:t>Доходы от продажи материальных и нематериальных активов</w:t>
      </w:r>
      <w:r w:rsidR="006B550D" w:rsidRPr="006B550D">
        <w:rPr>
          <w:sz w:val="28"/>
          <w:szCs w:val="28"/>
        </w:rPr>
        <w:t xml:space="preserve"> составили</w:t>
      </w:r>
      <w:r w:rsidR="006B550D">
        <w:rPr>
          <w:sz w:val="28"/>
          <w:szCs w:val="28"/>
        </w:rPr>
        <w:t xml:space="preserve"> </w:t>
      </w:r>
      <w:r w:rsidR="001148A7">
        <w:rPr>
          <w:sz w:val="28"/>
          <w:szCs w:val="28"/>
        </w:rPr>
        <w:t>7 890,1</w:t>
      </w:r>
      <w:r w:rsidR="006B550D" w:rsidRPr="006B550D">
        <w:rPr>
          <w:sz w:val="28"/>
          <w:szCs w:val="28"/>
        </w:rPr>
        <w:t xml:space="preserve"> тыс. рублей или </w:t>
      </w:r>
      <w:r w:rsidR="001148A7">
        <w:rPr>
          <w:sz w:val="28"/>
          <w:szCs w:val="28"/>
        </w:rPr>
        <w:t>55,9</w:t>
      </w:r>
      <w:r w:rsidR="006B550D" w:rsidRPr="006B550D">
        <w:rPr>
          <w:sz w:val="28"/>
          <w:szCs w:val="28"/>
        </w:rPr>
        <w:t>% от утвержденного показателя, в том числе: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реализации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="006B550D" w:rsidRPr="006B550D">
        <w:rPr>
          <w:sz w:val="28"/>
          <w:szCs w:val="28"/>
        </w:rPr>
        <w:t xml:space="preserve"> – </w:t>
      </w:r>
      <w:r w:rsidR="001148A7">
        <w:rPr>
          <w:sz w:val="28"/>
          <w:szCs w:val="28"/>
        </w:rPr>
        <w:t>(-107,1)</w:t>
      </w:r>
      <w:r w:rsidR="006B550D" w:rsidRPr="006B550D">
        <w:rPr>
          <w:sz w:val="28"/>
          <w:szCs w:val="28"/>
        </w:rPr>
        <w:t xml:space="preserve"> тыс. рублей;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6B550D">
        <w:rPr>
          <w:sz w:val="28"/>
          <w:szCs w:val="28"/>
        </w:rPr>
        <w:t xml:space="preserve">- доходы от продажи земельных участков – </w:t>
      </w:r>
      <w:r w:rsidR="001148A7">
        <w:rPr>
          <w:sz w:val="28"/>
          <w:szCs w:val="28"/>
        </w:rPr>
        <w:t>7 997,2</w:t>
      </w:r>
      <w:r w:rsidR="006B550D" w:rsidRPr="006B550D">
        <w:rPr>
          <w:sz w:val="28"/>
          <w:szCs w:val="28"/>
        </w:rPr>
        <w:t xml:space="preserve"> тыс. рублей.</w:t>
      </w:r>
    </w:p>
    <w:p w:rsid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50D" w:rsidRPr="00053FC4">
        <w:rPr>
          <w:sz w:val="28"/>
          <w:szCs w:val="28"/>
        </w:rPr>
        <w:t>Поступления от штрафов, санкций, возмещения ущерба</w:t>
      </w:r>
      <w:r w:rsidR="006B550D" w:rsidRPr="006B550D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1148A7">
        <w:rPr>
          <w:sz w:val="28"/>
          <w:szCs w:val="28"/>
        </w:rPr>
        <w:t>37 212,8</w:t>
      </w:r>
      <w:r w:rsidR="006B550D" w:rsidRPr="006B550D">
        <w:rPr>
          <w:sz w:val="28"/>
          <w:szCs w:val="28"/>
        </w:rPr>
        <w:t xml:space="preserve"> тыс. рублей или </w:t>
      </w:r>
      <w:r w:rsidR="001148A7">
        <w:rPr>
          <w:sz w:val="28"/>
          <w:szCs w:val="28"/>
        </w:rPr>
        <w:t>109,8</w:t>
      </w:r>
      <w:r w:rsidR="006B550D" w:rsidRPr="006B550D">
        <w:rPr>
          <w:sz w:val="28"/>
          <w:szCs w:val="28"/>
        </w:rPr>
        <w:t>% от утвержденного показателя, из них:</w:t>
      </w:r>
    </w:p>
    <w:p w:rsidR="00E05206" w:rsidRPr="006B550D" w:rsidRDefault="00E05206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B550D">
        <w:rPr>
          <w:sz w:val="28"/>
          <w:szCs w:val="28"/>
        </w:rPr>
        <w:t>денежные взыскания (штрафы)</w:t>
      </w:r>
      <w:r w:rsidRPr="00D51D64">
        <w:rPr>
          <w:sz w:val="28"/>
          <w:szCs w:val="28"/>
        </w:rPr>
        <w:t xml:space="preserve"> </w:t>
      </w:r>
      <w:r w:rsidRPr="006B550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законодательства РФ о промышленной безопасности – 6263,6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51D64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B550D">
        <w:rPr>
          <w:sz w:val="28"/>
          <w:szCs w:val="28"/>
        </w:rPr>
        <w:t>денежные взыскания (штрафы) за</w:t>
      </w:r>
      <w:r>
        <w:rPr>
          <w:sz w:val="28"/>
          <w:szCs w:val="28"/>
        </w:rPr>
        <w:t xml:space="preserve">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– </w:t>
      </w:r>
      <w:r w:rsidR="00B75D20">
        <w:rPr>
          <w:sz w:val="28"/>
          <w:szCs w:val="28"/>
        </w:rPr>
        <w:t xml:space="preserve"> 30</w:t>
      </w:r>
      <w:r w:rsidR="001148A7">
        <w:rPr>
          <w:sz w:val="28"/>
          <w:szCs w:val="28"/>
        </w:rPr>
        <w:t>19,4</w:t>
      </w:r>
      <w:r w:rsidR="002A21FB">
        <w:rPr>
          <w:sz w:val="28"/>
          <w:szCs w:val="28"/>
        </w:rPr>
        <w:t xml:space="preserve"> </w:t>
      </w:r>
      <w:proofErr w:type="spellStart"/>
      <w:r w:rsidR="002A21FB">
        <w:rPr>
          <w:sz w:val="28"/>
          <w:szCs w:val="28"/>
        </w:rPr>
        <w:t>тыс</w:t>
      </w:r>
      <w:proofErr w:type="gramStart"/>
      <w:r w:rsidR="002A21FB">
        <w:rPr>
          <w:sz w:val="28"/>
          <w:szCs w:val="28"/>
        </w:rPr>
        <w:t>.р</w:t>
      </w:r>
      <w:proofErr w:type="gramEnd"/>
      <w:r w:rsidR="002A21FB">
        <w:rPr>
          <w:sz w:val="28"/>
          <w:szCs w:val="28"/>
        </w:rPr>
        <w:t>уб</w:t>
      </w:r>
      <w:proofErr w:type="spellEnd"/>
      <w:r w:rsidR="002A21FB">
        <w:rPr>
          <w:sz w:val="28"/>
          <w:szCs w:val="28"/>
        </w:rPr>
        <w:t>.;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 xml:space="preserve">нарушение законодательства в области санитарно-эпидемиологического благополучия человека и законодательства в сфере защиты прав потребителей – </w:t>
      </w:r>
      <w:r w:rsidR="001148A7">
        <w:rPr>
          <w:sz w:val="28"/>
          <w:szCs w:val="28"/>
        </w:rPr>
        <w:t>2836,8</w:t>
      </w:r>
      <w:r w:rsidR="002A21FB">
        <w:rPr>
          <w:sz w:val="28"/>
          <w:szCs w:val="28"/>
        </w:rPr>
        <w:t xml:space="preserve"> тыс. руб.;</w:t>
      </w:r>
    </w:p>
    <w:p w:rsidR="00B75D20" w:rsidRDefault="004D1BD2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D20">
        <w:rPr>
          <w:sz w:val="28"/>
          <w:szCs w:val="28"/>
        </w:rPr>
        <w:t xml:space="preserve">- </w:t>
      </w:r>
      <w:r w:rsidR="00B75D20" w:rsidRPr="006B550D">
        <w:rPr>
          <w:sz w:val="28"/>
          <w:szCs w:val="28"/>
        </w:rPr>
        <w:t>денежные взыскания (штрафы)</w:t>
      </w:r>
      <w:r w:rsidR="00B75D20" w:rsidRPr="00D51D64">
        <w:rPr>
          <w:sz w:val="28"/>
          <w:szCs w:val="28"/>
        </w:rPr>
        <w:t xml:space="preserve"> </w:t>
      </w:r>
      <w:r w:rsidR="00B75D20" w:rsidRPr="006B550D">
        <w:rPr>
          <w:sz w:val="28"/>
          <w:szCs w:val="28"/>
        </w:rPr>
        <w:t xml:space="preserve">за </w:t>
      </w:r>
      <w:r w:rsidR="00B75D20">
        <w:rPr>
          <w:sz w:val="28"/>
          <w:szCs w:val="28"/>
        </w:rPr>
        <w:t xml:space="preserve">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</w:r>
      <w:r>
        <w:rPr>
          <w:sz w:val="28"/>
          <w:szCs w:val="28"/>
        </w:rPr>
        <w:t>–</w:t>
      </w:r>
      <w:r w:rsidR="00B75D2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148A7">
        <w:rPr>
          <w:sz w:val="28"/>
          <w:szCs w:val="28"/>
        </w:rPr>
        <w:t>356,2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40B89" w:rsidRPr="006B550D" w:rsidRDefault="004D1BD2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>несоблюдение муниципальных правов</w:t>
      </w:r>
      <w:r w:rsidR="00B75D20">
        <w:rPr>
          <w:sz w:val="28"/>
          <w:szCs w:val="28"/>
        </w:rPr>
        <w:t xml:space="preserve">ых актов – </w:t>
      </w:r>
      <w:r w:rsidR="00E05206">
        <w:rPr>
          <w:sz w:val="28"/>
          <w:szCs w:val="28"/>
        </w:rPr>
        <w:t>1790,7</w:t>
      </w:r>
      <w:r w:rsidR="00740B89">
        <w:rPr>
          <w:sz w:val="28"/>
          <w:szCs w:val="28"/>
        </w:rPr>
        <w:t xml:space="preserve"> </w:t>
      </w:r>
      <w:proofErr w:type="spellStart"/>
      <w:r w:rsidR="00740B89">
        <w:rPr>
          <w:sz w:val="28"/>
          <w:szCs w:val="28"/>
        </w:rPr>
        <w:t>тыс</w:t>
      </w:r>
      <w:proofErr w:type="gramStart"/>
      <w:r w:rsidR="00740B89">
        <w:rPr>
          <w:sz w:val="28"/>
          <w:szCs w:val="28"/>
        </w:rPr>
        <w:t>.р</w:t>
      </w:r>
      <w:proofErr w:type="gramEnd"/>
      <w:r w:rsidR="00740B89">
        <w:rPr>
          <w:sz w:val="28"/>
          <w:szCs w:val="28"/>
        </w:rPr>
        <w:t>уб</w:t>
      </w:r>
      <w:proofErr w:type="spellEnd"/>
      <w:r w:rsidR="00740B89">
        <w:rPr>
          <w:sz w:val="28"/>
          <w:szCs w:val="28"/>
        </w:rPr>
        <w:t>.;</w:t>
      </w:r>
    </w:p>
    <w:p w:rsidR="006B550D" w:rsidRPr="006B550D" w:rsidRDefault="00D51D64" w:rsidP="002A21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0D" w:rsidRPr="006B550D">
        <w:rPr>
          <w:sz w:val="28"/>
          <w:szCs w:val="28"/>
        </w:rPr>
        <w:t xml:space="preserve">- прочие поступления от денежных взысканий (штрафов) и иных сумм </w:t>
      </w:r>
      <w:proofErr w:type="gramStart"/>
      <w:r w:rsidR="006B550D" w:rsidRPr="006B550D">
        <w:rPr>
          <w:sz w:val="28"/>
          <w:szCs w:val="28"/>
        </w:rPr>
        <w:t>в</w:t>
      </w:r>
      <w:proofErr w:type="gramEnd"/>
    </w:p>
    <w:p w:rsidR="006B550D" w:rsidRPr="006B550D" w:rsidRDefault="006B550D" w:rsidP="002A21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550D">
        <w:rPr>
          <w:sz w:val="28"/>
          <w:szCs w:val="28"/>
        </w:rPr>
        <w:t xml:space="preserve">возмещение ущерба – </w:t>
      </w:r>
      <w:r w:rsidR="00E05206">
        <w:rPr>
          <w:sz w:val="28"/>
          <w:szCs w:val="28"/>
        </w:rPr>
        <w:t>20562,8</w:t>
      </w:r>
      <w:r w:rsidR="002A21FB">
        <w:rPr>
          <w:sz w:val="28"/>
          <w:szCs w:val="28"/>
        </w:rPr>
        <w:t xml:space="preserve"> тыс. рублей</w:t>
      </w:r>
      <w:r w:rsidRPr="006B550D">
        <w:rPr>
          <w:sz w:val="28"/>
          <w:szCs w:val="28"/>
        </w:rPr>
        <w:t>.</w:t>
      </w:r>
    </w:p>
    <w:p w:rsidR="00A14D4C" w:rsidRPr="006B550D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14D4C" w:rsidRDefault="00A14D4C" w:rsidP="00A14D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A14D4C">
        <w:rPr>
          <w:sz w:val="28"/>
          <w:szCs w:val="28"/>
        </w:rPr>
        <w:t>О</w:t>
      </w:r>
      <w:r w:rsidR="004929DA" w:rsidRPr="00A14D4C">
        <w:rPr>
          <w:sz w:val="28"/>
          <w:szCs w:val="28"/>
        </w:rPr>
        <w:t>бъем безвозмездных поступлений</w:t>
      </w:r>
      <w:r w:rsidR="004929DA">
        <w:rPr>
          <w:sz w:val="28"/>
          <w:szCs w:val="28"/>
        </w:rPr>
        <w:t xml:space="preserve"> от бюджетов других уровней составил </w:t>
      </w:r>
      <w:r w:rsidR="00D06FA6">
        <w:rPr>
          <w:sz w:val="28"/>
          <w:szCs w:val="28"/>
        </w:rPr>
        <w:t>2 799 229,7</w:t>
      </w:r>
      <w:r w:rsidR="004929DA">
        <w:rPr>
          <w:sz w:val="28"/>
          <w:szCs w:val="28"/>
        </w:rPr>
        <w:t xml:space="preserve"> тыс. рублей или </w:t>
      </w:r>
      <w:r w:rsidR="00D06FA6">
        <w:rPr>
          <w:sz w:val="28"/>
          <w:szCs w:val="28"/>
        </w:rPr>
        <w:t>99,5</w:t>
      </w:r>
      <w:r w:rsidR="007E3D29">
        <w:rPr>
          <w:sz w:val="28"/>
          <w:szCs w:val="28"/>
        </w:rPr>
        <w:t>%</w:t>
      </w:r>
      <w:r w:rsidR="004929DA">
        <w:rPr>
          <w:sz w:val="28"/>
          <w:szCs w:val="28"/>
        </w:rPr>
        <w:t xml:space="preserve"> от уточненного годового плана.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91249" w:rsidRDefault="00491249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– 41 786,9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>
        <w:rPr>
          <w:sz w:val="28"/>
          <w:szCs w:val="28"/>
        </w:rPr>
        <w:t xml:space="preserve"> (100%),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–   </w:t>
      </w:r>
      <w:r w:rsidR="00D06FA6">
        <w:rPr>
          <w:sz w:val="28"/>
          <w:szCs w:val="28"/>
        </w:rPr>
        <w:t>485 109,5</w:t>
      </w:r>
      <w:r>
        <w:rPr>
          <w:sz w:val="28"/>
          <w:szCs w:val="28"/>
        </w:rPr>
        <w:t xml:space="preserve">  тыс. руб</w:t>
      </w:r>
      <w:r w:rsidR="00827310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91249">
        <w:rPr>
          <w:sz w:val="28"/>
          <w:szCs w:val="28"/>
        </w:rPr>
        <w:t>99,99</w:t>
      </w:r>
      <w:r>
        <w:rPr>
          <w:sz w:val="28"/>
          <w:szCs w:val="28"/>
        </w:rPr>
        <w:t>%)</w:t>
      </w:r>
      <w:r w:rsidR="00AC7430">
        <w:rPr>
          <w:sz w:val="28"/>
          <w:szCs w:val="28"/>
        </w:rPr>
        <w:t>,</w:t>
      </w:r>
    </w:p>
    <w:p w:rsidR="004929DA" w:rsidRDefault="004929DA" w:rsidP="00B51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 </w:t>
      </w:r>
      <w:r w:rsidR="00491249">
        <w:rPr>
          <w:sz w:val="28"/>
          <w:szCs w:val="28"/>
        </w:rPr>
        <w:t>1 150 741,2</w:t>
      </w:r>
      <w:r>
        <w:rPr>
          <w:sz w:val="28"/>
          <w:szCs w:val="28"/>
        </w:rPr>
        <w:t xml:space="preserve"> тыс. руб</w:t>
      </w:r>
      <w:r w:rsidR="00827310">
        <w:rPr>
          <w:sz w:val="28"/>
          <w:szCs w:val="28"/>
        </w:rPr>
        <w:t>.</w:t>
      </w:r>
      <w:r>
        <w:rPr>
          <w:sz w:val="28"/>
          <w:szCs w:val="28"/>
        </w:rPr>
        <w:t xml:space="preserve"> (100 %)</w:t>
      </w:r>
      <w:r w:rsidR="00AC7430">
        <w:rPr>
          <w:sz w:val="28"/>
          <w:szCs w:val="28"/>
        </w:rPr>
        <w:t>,</w:t>
      </w:r>
    </w:p>
    <w:p w:rsidR="004929DA" w:rsidRDefault="00E73978" w:rsidP="003F2EB2">
      <w:pPr>
        <w:pStyle w:val="a8"/>
        <w:widowControl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9DA" w:rsidRPr="00E73978">
        <w:rPr>
          <w:sz w:val="28"/>
          <w:szCs w:val="28"/>
        </w:rPr>
        <w:t xml:space="preserve">- иные межбюджетные трансферты  - </w:t>
      </w:r>
      <w:r w:rsidR="00491249">
        <w:rPr>
          <w:sz w:val="28"/>
          <w:szCs w:val="28"/>
        </w:rPr>
        <w:t>1 128 692,4</w:t>
      </w:r>
      <w:r w:rsidR="007E3D29">
        <w:rPr>
          <w:sz w:val="28"/>
          <w:szCs w:val="28"/>
        </w:rPr>
        <w:t xml:space="preserve"> </w:t>
      </w:r>
      <w:r w:rsidR="004929DA" w:rsidRPr="00E73978">
        <w:rPr>
          <w:sz w:val="28"/>
          <w:szCs w:val="28"/>
        </w:rPr>
        <w:t xml:space="preserve"> тыс. руб</w:t>
      </w:r>
      <w:r w:rsidR="00827310">
        <w:rPr>
          <w:sz w:val="28"/>
          <w:szCs w:val="28"/>
        </w:rPr>
        <w:t>.</w:t>
      </w:r>
      <w:r w:rsidR="004929DA" w:rsidRPr="00E73978">
        <w:rPr>
          <w:sz w:val="28"/>
          <w:szCs w:val="28"/>
        </w:rPr>
        <w:t xml:space="preserve"> (</w:t>
      </w:r>
      <w:r w:rsidR="00491249">
        <w:rPr>
          <w:sz w:val="28"/>
          <w:szCs w:val="28"/>
        </w:rPr>
        <w:t>99,8</w:t>
      </w:r>
      <w:r w:rsidR="007E3D29">
        <w:rPr>
          <w:sz w:val="28"/>
          <w:szCs w:val="28"/>
        </w:rPr>
        <w:t>%</w:t>
      </w:r>
      <w:r w:rsidR="004929DA" w:rsidRPr="00E739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29DA" w:rsidRDefault="004929DA" w:rsidP="003F2E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Объемы безвозмездных поступлений представлены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2EB2" w:rsidRDefault="003F2EB2" w:rsidP="003F2EB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4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132"/>
        <w:gridCol w:w="1418"/>
        <w:gridCol w:w="1417"/>
        <w:gridCol w:w="1276"/>
        <w:gridCol w:w="854"/>
        <w:gridCol w:w="851"/>
      </w:tblGrid>
      <w:tr w:rsidR="00350B1D" w:rsidRPr="004929DA" w:rsidTr="00602AC3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Default="00350B1D" w:rsidP="00B518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491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Решение о бюджете № </w:t>
            </w:r>
            <w:r w:rsidR="0049124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от 1</w:t>
            </w:r>
            <w:r w:rsidR="0049124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.12.201</w:t>
            </w:r>
            <w:r w:rsidR="004912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22384B" w:rsidP="00491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143</w:t>
            </w:r>
            <w:r w:rsidRPr="00604B3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A6C67">
              <w:rPr>
                <w:b/>
                <w:sz w:val="22"/>
                <w:szCs w:val="22"/>
              </w:rPr>
              <w:t>от 28.12.2016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491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</w:t>
            </w:r>
            <w:r w:rsidR="004912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1249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1249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юджету</w:t>
            </w:r>
          </w:p>
        </w:tc>
      </w:tr>
      <w:tr w:rsidR="00350B1D" w:rsidRPr="004929DA" w:rsidTr="00602AC3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2 501 854,3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2 812 767,9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E73978" w:rsidRDefault="00491249" w:rsidP="00B51854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2 799 229,7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602AC3" w:rsidP="00B5185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99,5</w:t>
            </w:r>
          </w:p>
        </w:tc>
      </w:tr>
      <w:tr w:rsidR="00350B1D" w:rsidRPr="004929DA" w:rsidTr="00602AC3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2 501 854,3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2 808 804,6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E73978" w:rsidRDefault="00491249" w:rsidP="000263D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2 806 329,9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99,9</w:t>
            </w:r>
          </w:p>
        </w:tc>
      </w:tr>
      <w:tr w:rsidR="00491249" w:rsidRPr="004929DA" w:rsidTr="00602AC3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49" w:rsidRPr="00A14D4C" w:rsidRDefault="00491249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49" w:rsidRDefault="00602AC3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49" w:rsidRDefault="00491249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49" w:rsidRDefault="00491249" w:rsidP="000263D9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41 786,9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49" w:rsidRDefault="00602AC3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249" w:rsidRDefault="00602AC3" w:rsidP="000263D9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292 695,3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485 110,0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485 109,5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99,99</w:t>
            </w:r>
          </w:p>
        </w:tc>
      </w:tr>
      <w:tr w:rsidR="00350B1D" w:rsidRPr="004929DA" w:rsidTr="00602AC3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350B1D" w:rsidP="00B51854">
            <w:pPr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174BD3">
              <w:rPr>
                <w:bCs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491249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41 199,8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491249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41 199,8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6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174BD3">
            <w:pPr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365924">
              <w:rPr>
                <w:bCs/>
                <w:sz w:val="20"/>
                <w:szCs w:val="20"/>
                <w:lang w:eastAsia="en-US"/>
              </w:rPr>
              <w:t xml:space="preserve">Субсидии бюджетам муниципальных районов на обеспечение мероприятий по </w:t>
            </w:r>
            <w:r>
              <w:rPr>
                <w:bCs/>
                <w:sz w:val="20"/>
                <w:szCs w:val="20"/>
                <w:lang w:eastAsia="en-US"/>
              </w:rPr>
              <w:t xml:space="preserve">переселению граждан из аварийного жилищного фонда  </w:t>
            </w:r>
            <w:r w:rsidRPr="00365924">
              <w:rPr>
                <w:bCs/>
                <w:sz w:val="20"/>
                <w:szCs w:val="20"/>
                <w:lang w:eastAsia="en-US"/>
              </w:rPr>
              <w:t>за счет средств</w:t>
            </w:r>
            <w:r>
              <w:rPr>
                <w:bCs/>
                <w:sz w:val="20"/>
                <w:szCs w:val="20"/>
                <w:lang w:eastAsia="en-US"/>
              </w:rPr>
              <w:t xml:space="preserve">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365924" w:rsidRDefault="00350B1D" w:rsidP="00B51854">
            <w:pPr>
              <w:jc w:val="right"/>
              <w:outlineLvl w:val="1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491249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9 698,0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174BD3" w:rsidRDefault="00491249" w:rsidP="00B51854">
            <w:pPr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9 698,0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394 018,5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491249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394 017,9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</w:tr>
      <w:tr w:rsidR="00350B1D" w:rsidRPr="004929DA" w:rsidTr="00602AC3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1 177 118,5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1 150 741,2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491249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1150741,2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491249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76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7232,9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7 232,9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491249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7 232,9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491249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111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286,5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82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3271,9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3 271,9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174BD3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3 271,9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60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1 166 494,7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1 138 307,3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1138307,3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990 253,6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1 131 166,4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1F0860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1128692,4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B51854">
            <w:pPr>
              <w:jc w:val="right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99,8</w:t>
            </w:r>
          </w:p>
        </w:tc>
      </w:tr>
      <w:tr w:rsidR="00350B1D" w:rsidRPr="004929DA" w:rsidTr="00602AC3">
        <w:trPr>
          <w:trHeight w:val="11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53 554,6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53 554,6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2163CA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379 881,7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379 881,7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3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2163CA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</w:t>
            </w:r>
            <w:r>
              <w:rPr>
                <w:sz w:val="20"/>
                <w:szCs w:val="20"/>
                <w:lang w:eastAsia="en-US"/>
              </w:rPr>
              <w:t xml:space="preserve"> на комплектование книжных фондов библиотек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115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lastRenderedPageBreak/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 w:rsidRPr="00A14D4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697 470,2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694 996,1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</w:tr>
      <w:tr w:rsidR="00350B1D" w:rsidRPr="004929DA" w:rsidTr="00602AC3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6 000,0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1F0860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50B1D" w:rsidRPr="004929DA" w:rsidTr="00602AC3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A14D4C" w:rsidRDefault="00350B1D" w:rsidP="00B51854">
            <w:pPr>
              <w:outlineLvl w:val="2"/>
              <w:rPr>
                <w:b/>
                <w:sz w:val="20"/>
                <w:szCs w:val="20"/>
                <w:lang w:eastAsia="en-US"/>
              </w:rPr>
            </w:pPr>
            <w:r w:rsidRPr="00A14D4C">
              <w:rPr>
                <w:b/>
                <w:sz w:val="20"/>
                <w:szCs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D77F51" w:rsidRDefault="001F0860" w:rsidP="00B51854">
            <w:pPr>
              <w:jc w:val="right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Pr="00D77F51" w:rsidRDefault="001F0860" w:rsidP="00B51854">
            <w:pPr>
              <w:jc w:val="right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5 496,2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B51854">
            <w:pPr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190,3</w:t>
            </w:r>
          </w:p>
        </w:tc>
      </w:tr>
      <w:tr w:rsidR="00350B1D" w:rsidRPr="004929DA" w:rsidTr="00602AC3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1D" w:rsidRPr="00A14D4C" w:rsidRDefault="00350B1D" w:rsidP="00B51854">
            <w:pPr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A14D4C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602AC3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- 4 924,9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1F0860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- 18 596,5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D" w:rsidRDefault="00350B1D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B1D" w:rsidRDefault="007474E5" w:rsidP="00B51854">
            <w:pPr>
              <w:jc w:val="right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377,6</w:t>
            </w:r>
          </w:p>
        </w:tc>
      </w:tr>
    </w:tbl>
    <w:p w:rsidR="00252217" w:rsidRDefault="00884F9A" w:rsidP="002522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AC253F" w:rsidRPr="00252217" w:rsidRDefault="00252217" w:rsidP="00252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17D71" w:rsidRPr="0002524C">
        <w:rPr>
          <w:sz w:val="28"/>
          <w:szCs w:val="28"/>
        </w:rPr>
        <w:t>Льготы по арендной плате за муниципальное имущество не пред</w:t>
      </w:r>
      <w:r w:rsidR="00317D71" w:rsidRPr="0002524C">
        <w:rPr>
          <w:sz w:val="28"/>
          <w:szCs w:val="28"/>
        </w:rPr>
        <w:t>о</w:t>
      </w:r>
      <w:r w:rsidR="00A17D71" w:rsidRPr="0002524C">
        <w:rPr>
          <w:sz w:val="28"/>
          <w:szCs w:val="28"/>
        </w:rPr>
        <w:t xml:space="preserve">ставлялись. </w:t>
      </w:r>
    </w:p>
    <w:p w:rsidR="00AC7430" w:rsidRDefault="00AC7430" w:rsidP="00AC74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33E" w:rsidRPr="001B1114" w:rsidRDefault="00306AD3" w:rsidP="001B1114">
      <w:pPr>
        <w:spacing w:line="276" w:lineRule="auto"/>
        <w:jc w:val="center"/>
        <w:rPr>
          <w:b/>
          <w:sz w:val="28"/>
          <w:szCs w:val="28"/>
        </w:rPr>
      </w:pPr>
      <w:r w:rsidRPr="001B1114">
        <w:rPr>
          <w:b/>
          <w:sz w:val="28"/>
          <w:szCs w:val="28"/>
        </w:rPr>
        <w:t>Анализ расходов бюджета</w:t>
      </w:r>
      <w:r w:rsidR="001B1114" w:rsidRPr="001B1114">
        <w:rPr>
          <w:b/>
          <w:sz w:val="28"/>
          <w:szCs w:val="28"/>
        </w:rPr>
        <w:t xml:space="preserve"> Альметьевского муниципального района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A5403" w:rsidRPr="00D86C92" w:rsidRDefault="00D86C92" w:rsidP="00D86C92">
      <w:pPr>
        <w:spacing w:line="276" w:lineRule="auto"/>
        <w:ind w:firstLine="720"/>
        <w:jc w:val="both"/>
        <w:rPr>
          <w:sz w:val="28"/>
          <w:szCs w:val="28"/>
        </w:rPr>
      </w:pPr>
      <w:r w:rsidRPr="00D86C92">
        <w:rPr>
          <w:sz w:val="28"/>
          <w:szCs w:val="28"/>
        </w:rPr>
        <w:t xml:space="preserve">Расходная часть бюджета Альметьевского муниципального района в 2016 году исполнена в размере </w:t>
      </w:r>
      <w:r w:rsidR="007474E5" w:rsidRPr="00D86C92">
        <w:rPr>
          <w:sz w:val="28"/>
          <w:szCs w:val="28"/>
        </w:rPr>
        <w:t>3 646 948,9</w:t>
      </w:r>
      <w:r w:rsidR="007624EF" w:rsidRPr="00D86C92">
        <w:rPr>
          <w:sz w:val="28"/>
          <w:szCs w:val="28"/>
        </w:rPr>
        <w:t xml:space="preserve"> тыс. рублей или </w:t>
      </w:r>
      <w:r w:rsidR="007474E5" w:rsidRPr="00D86C92">
        <w:rPr>
          <w:sz w:val="28"/>
          <w:szCs w:val="28"/>
        </w:rPr>
        <w:t>95,9</w:t>
      </w:r>
      <w:r w:rsidR="00933E2F" w:rsidRPr="00D86C92">
        <w:rPr>
          <w:sz w:val="28"/>
          <w:szCs w:val="28"/>
        </w:rPr>
        <w:t>% от уточненного плана (</w:t>
      </w:r>
      <w:r w:rsidR="007474E5" w:rsidRPr="00D86C92">
        <w:rPr>
          <w:sz w:val="28"/>
          <w:szCs w:val="28"/>
        </w:rPr>
        <w:t xml:space="preserve">3 803 895,3 </w:t>
      </w:r>
      <w:r w:rsidR="007624EF" w:rsidRPr="00D86C92">
        <w:rPr>
          <w:sz w:val="28"/>
          <w:szCs w:val="28"/>
        </w:rPr>
        <w:t xml:space="preserve">тыс. рублей). </w:t>
      </w:r>
    </w:p>
    <w:p w:rsidR="001B1114" w:rsidRDefault="001B1114" w:rsidP="00933E2F">
      <w:pPr>
        <w:spacing w:line="276" w:lineRule="auto"/>
        <w:jc w:val="both"/>
        <w:rPr>
          <w:sz w:val="28"/>
          <w:szCs w:val="28"/>
        </w:rPr>
      </w:pPr>
    </w:p>
    <w:p w:rsidR="001B1114" w:rsidRDefault="001B1114" w:rsidP="001B1114">
      <w:pPr>
        <w:jc w:val="center"/>
        <w:rPr>
          <w:b/>
          <w:sz w:val="28"/>
          <w:szCs w:val="28"/>
        </w:rPr>
      </w:pPr>
      <w:r w:rsidRPr="001B1114">
        <w:rPr>
          <w:b/>
          <w:sz w:val="28"/>
          <w:szCs w:val="28"/>
        </w:rPr>
        <w:t>Функциональная структура расходов бюджета Альметьевского муниципального района</w:t>
      </w:r>
    </w:p>
    <w:p w:rsidR="00D86C92" w:rsidRPr="001B1114" w:rsidRDefault="00D86C92" w:rsidP="001B1114">
      <w:pPr>
        <w:jc w:val="center"/>
        <w:rPr>
          <w:b/>
          <w:sz w:val="28"/>
          <w:szCs w:val="28"/>
        </w:rPr>
      </w:pPr>
    </w:p>
    <w:p w:rsidR="001164A2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00662" w:rsidRPr="007624EF">
        <w:rPr>
          <w:sz w:val="28"/>
          <w:szCs w:val="28"/>
        </w:rPr>
        <w:t>По состоянию на 01.01.201</w:t>
      </w:r>
      <w:r w:rsidR="00822FF8">
        <w:rPr>
          <w:sz w:val="28"/>
          <w:szCs w:val="28"/>
        </w:rPr>
        <w:t>7</w:t>
      </w:r>
      <w:r w:rsidR="00700662" w:rsidRPr="007624EF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="00700662" w:rsidRPr="007624EF">
        <w:rPr>
          <w:sz w:val="28"/>
          <w:szCs w:val="28"/>
        </w:rPr>
        <w:t>представлены</w:t>
      </w:r>
      <w:proofErr w:type="gramEnd"/>
      <w:r w:rsidR="00700662" w:rsidRPr="007624EF">
        <w:rPr>
          <w:sz w:val="28"/>
          <w:szCs w:val="28"/>
        </w:rPr>
        <w:t xml:space="preserve"> в нижеследующей таблице:</w:t>
      </w:r>
    </w:p>
    <w:p w:rsidR="00DD57A1" w:rsidRDefault="00700662" w:rsidP="00B5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276"/>
        <w:gridCol w:w="1418"/>
        <w:gridCol w:w="1275"/>
        <w:gridCol w:w="851"/>
        <w:gridCol w:w="709"/>
      </w:tblGrid>
      <w:tr w:rsidR="00350B1D" w:rsidRPr="00DD57A1" w:rsidTr="00350B1D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50B1D" w:rsidRPr="001712B8" w:rsidRDefault="00350B1D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Раздел</w:t>
            </w:r>
            <w:proofErr w:type="gramStart"/>
            <w:r w:rsidRPr="001712B8">
              <w:rPr>
                <w:b/>
                <w:sz w:val="22"/>
                <w:szCs w:val="22"/>
              </w:rPr>
              <w:t>,п</w:t>
            </w:r>
            <w:proofErr w:type="gramEnd"/>
            <w:r w:rsidRPr="001712B8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50B1D" w:rsidRPr="001712B8" w:rsidRDefault="00350B1D" w:rsidP="00822F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Решение о бюджете № </w:t>
            </w:r>
            <w:r w:rsidR="00822FF8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от 1</w:t>
            </w:r>
            <w:r w:rsidR="00822FF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.12.201</w:t>
            </w:r>
            <w:r w:rsidR="00822F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50B1D" w:rsidRPr="001712B8" w:rsidRDefault="0022384B" w:rsidP="002238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143</w:t>
            </w:r>
            <w:r w:rsidRPr="00604B3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A6C67">
              <w:rPr>
                <w:b/>
                <w:sz w:val="22"/>
                <w:szCs w:val="22"/>
              </w:rPr>
              <w:t>от 28.12.2016</w:t>
            </w:r>
          </w:p>
        </w:tc>
        <w:tc>
          <w:tcPr>
            <w:tcW w:w="1275" w:type="dxa"/>
            <w:shd w:val="clear" w:color="auto" w:fill="auto"/>
          </w:tcPr>
          <w:p w:rsidR="00350B1D" w:rsidRPr="001712B8" w:rsidRDefault="00350B1D" w:rsidP="00822F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</w:t>
            </w:r>
            <w:r w:rsidR="00822FF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709" w:type="dxa"/>
            <w:shd w:val="clear" w:color="auto" w:fill="auto"/>
          </w:tcPr>
          <w:p w:rsidR="00350B1D" w:rsidRPr="001712B8" w:rsidRDefault="00350B1D" w:rsidP="001D030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0100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B51854">
            <w:pPr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822FF8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124 354,7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822FF8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367 830,3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822FF8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358 755,1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CE5995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288,5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DC5EAF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0102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2 114,0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12 834,2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12 834,2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607,1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11 263,6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23 224,9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22 504,4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199,8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C5EAF" w:rsidP="001712B8">
            <w:pPr>
              <w:jc w:val="both"/>
            </w:pPr>
            <w:r>
              <w:t>96,9</w:t>
            </w:r>
          </w:p>
        </w:tc>
      </w:tr>
      <w:tr w:rsidR="00350B1D" w:rsidRPr="00DD57A1" w:rsidTr="001712B8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lastRenderedPageBreak/>
              <w:t>0104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47 369,9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76 120,9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73 457,3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155,1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C5EAF" w:rsidP="001712B8">
            <w:pPr>
              <w:jc w:val="both"/>
            </w:pPr>
            <w:r>
              <w:t>96,5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0105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119,0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286,5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286,5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240,7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0106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822FF8" w:rsidP="001712B8">
            <w:pPr>
              <w:jc w:val="both"/>
            </w:pPr>
            <w:r>
              <w:t>15 077,0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22 010,8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21 980,9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145,8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C5EAF" w:rsidP="001712B8">
            <w:pPr>
              <w:jc w:val="both"/>
            </w:pPr>
            <w:r>
              <w:t>99,8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0107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251,4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251,4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350B1D" w:rsidP="001712B8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100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0111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10 597,3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0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DD57A1" w:rsidRDefault="00350B1D" w:rsidP="00B51854">
            <w:pPr>
              <w:spacing w:line="276" w:lineRule="auto"/>
            </w:pPr>
            <w:r w:rsidRPr="00DD57A1">
              <w:t>0113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37 813,9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233 101,4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DD57A1" w:rsidRDefault="00D1468B" w:rsidP="001712B8">
            <w:pPr>
              <w:jc w:val="both"/>
            </w:pPr>
            <w:r>
              <w:t>227 440,4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DD57A1" w:rsidRDefault="00CE5995" w:rsidP="001712B8">
            <w:pPr>
              <w:jc w:val="both"/>
            </w:pPr>
            <w:r>
              <w:t>601,5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DD57A1" w:rsidRDefault="00DC5EAF" w:rsidP="001712B8">
            <w:pPr>
              <w:jc w:val="both"/>
            </w:pPr>
            <w:r>
              <w:t>97,6</w:t>
            </w:r>
          </w:p>
        </w:tc>
      </w:tr>
      <w:tr w:rsidR="00350B1D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350B1D" w:rsidRPr="004B6326" w:rsidRDefault="00350B1D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0200</w:t>
            </w:r>
          </w:p>
        </w:tc>
        <w:tc>
          <w:tcPr>
            <w:tcW w:w="3685" w:type="dxa"/>
            <w:shd w:val="clear" w:color="auto" w:fill="auto"/>
            <w:hideMark/>
          </w:tcPr>
          <w:p w:rsidR="00350B1D" w:rsidRPr="001712B8" w:rsidRDefault="00350B1D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350B1D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3 271,9</w:t>
            </w:r>
          </w:p>
        </w:tc>
        <w:tc>
          <w:tcPr>
            <w:tcW w:w="1418" w:type="dxa"/>
            <w:shd w:val="clear" w:color="auto" w:fill="auto"/>
            <w:noWrap/>
          </w:tcPr>
          <w:p w:rsidR="00350B1D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3 271,9</w:t>
            </w:r>
          </w:p>
        </w:tc>
        <w:tc>
          <w:tcPr>
            <w:tcW w:w="1275" w:type="dxa"/>
            <w:shd w:val="clear" w:color="auto" w:fill="auto"/>
            <w:noWrap/>
          </w:tcPr>
          <w:p w:rsidR="00350B1D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3 271,9</w:t>
            </w:r>
          </w:p>
        </w:tc>
        <w:tc>
          <w:tcPr>
            <w:tcW w:w="851" w:type="dxa"/>
            <w:shd w:val="clear" w:color="auto" w:fill="auto"/>
            <w:noWrap/>
          </w:tcPr>
          <w:p w:rsidR="00350B1D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350B1D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0203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1468B" w:rsidRDefault="00D1468B" w:rsidP="00DD6367">
            <w:pPr>
              <w:jc w:val="both"/>
              <w:rPr>
                <w:bCs/>
              </w:rPr>
            </w:pPr>
            <w:r w:rsidRPr="00D1468B">
              <w:rPr>
                <w:bCs/>
              </w:rPr>
              <w:t>3 271,9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1468B" w:rsidRDefault="00D1468B" w:rsidP="00DD6367">
            <w:pPr>
              <w:jc w:val="both"/>
              <w:rPr>
                <w:bCs/>
              </w:rPr>
            </w:pPr>
            <w:r w:rsidRPr="00D1468B">
              <w:rPr>
                <w:bCs/>
              </w:rPr>
              <w:t>3 271,9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1468B" w:rsidRDefault="00D1468B" w:rsidP="00DD6367">
            <w:pPr>
              <w:jc w:val="both"/>
              <w:rPr>
                <w:bCs/>
              </w:rPr>
            </w:pPr>
            <w:r w:rsidRPr="00D1468B">
              <w:rPr>
                <w:bCs/>
              </w:rPr>
              <w:t>3 271,9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1468B" w:rsidRDefault="00CE5995" w:rsidP="00DD636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1468B" w:rsidRDefault="00D1468B" w:rsidP="00DD6367">
            <w:pPr>
              <w:jc w:val="both"/>
              <w:rPr>
                <w:bCs/>
              </w:rPr>
            </w:pPr>
            <w:r w:rsidRPr="00D1468B">
              <w:rPr>
                <w:bCs/>
              </w:rPr>
              <w:t>100</w:t>
            </w:r>
          </w:p>
        </w:tc>
      </w:tr>
      <w:tr w:rsidR="00D1468B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4B6326" w:rsidRDefault="00D1468B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0300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4 904,2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14 560,6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14 559,9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4B6326" w:rsidRDefault="00F4478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296,9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4B6326" w:rsidRDefault="00DC5EA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D1468B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0309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0263D9" w:rsidRDefault="006768E7" w:rsidP="000263D9">
            <w:pPr>
              <w:jc w:val="both"/>
              <w:rPr>
                <w:bCs/>
              </w:rPr>
            </w:pPr>
            <w:r>
              <w:rPr>
                <w:bCs/>
              </w:rPr>
              <w:t>2 067,1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0263D9" w:rsidRDefault="00D1468B" w:rsidP="000263D9">
            <w:pPr>
              <w:jc w:val="both"/>
              <w:rPr>
                <w:bCs/>
              </w:rPr>
            </w:pPr>
            <w:r>
              <w:rPr>
                <w:bCs/>
              </w:rPr>
              <w:t>2 040,4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0263D9" w:rsidRDefault="00D1468B" w:rsidP="000263D9">
            <w:pPr>
              <w:jc w:val="both"/>
              <w:rPr>
                <w:bCs/>
              </w:rPr>
            </w:pPr>
            <w:r>
              <w:rPr>
                <w:bCs/>
              </w:rPr>
              <w:t>2 040,4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0263D9" w:rsidRDefault="00F4478A" w:rsidP="000263D9">
            <w:pPr>
              <w:jc w:val="both"/>
              <w:rPr>
                <w:bCs/>
              </w:rPr>
            </w:pPr>
            <w:r>
              <w:rPr>
                <w:bCs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0263D9" w:rsidRDefault="00D1468B" w:rsidP="000263D9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1468B" w:rsidRPr="00DD57A1" w:rsidTr="0079409D">
        <w:trPr>
          <w:trHeight w:val="720"/>
        </w:trPr>
        <w:tc>
          <w:tcPr>
            <w:tcW w:w="866" w:type="dxa"/>
            <w:shd w:val="clear" w:color="auto" w:fill="auto"/>
            <w:noWrap/>
          </w:tcPr>
          <w:p w:rsidR="00D1468B" w:rsidRPr="00DD57A1" w:rsidRDefault="00D1468B" w:rsidP="00B51854">
            <w:pPr>
              <w:spacing w:line="276" w:lineRule="auto"/>
            </w:pPr>
            <w:r>
              <w:t>0314</w:t>
            </w:r>
          </w:p>
        </w:tc>
        <w:tc>
          <w:tcPr>
            <w:tcW w:w="3685" w:type="dxa"/>
            <w:shd w:val="clear" w:color="auto" w:fill="auto"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Default="00D1468B" w:rsidP="000263D9">
            <w:pPr>
              <w:jc w:val="both"/>
              <w:rPr>
                <w:bCs/>
              </w:rPr>
            </w:pPr>
            <w:r>
              <w:rPr>
                <w:bCs/>
              </w:rPr>
              <w:t>2 837,1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Default="00D1468B" w:rsidP="00DD6367">
            <w:pPr>
              <w:jc w:val="both"/>
              <w:rPr>
                <w:bCs/>
              </w:rPr>
            </w:pPr>
            <w:r>
              <w:rPr>
                <w:bCs/>
              </w:rPr>
              <w:t>12 520,2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Default="00D1468B" w:rsidP="00DD6367">
            <w:pPr>
              <w:jc w:val="both"/>
              <w:rPr>
                <w:bCs/>
              </w:rPr>
            </w:pPr>
            <w:r>
              <w:rPr>
                <w:bCs/>
              </w:rPr>
              <w:t>12 519,5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Default="00F4478A" w:rsidP="000263D9">
            <w:pPr>
              <w:jc w:val="both"/>
              <w:rPr>
                <w:bCs/>
              </w:rPr>
            </w:pPr>
            <w:r>
              <w:rPr>
                <w:bCs/>
              </w:rPr>
              <w:t>441,3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Default="00DC5EAF" w:rsidP="000263D9">
            <w:pPr>
              <w:jc w:val="both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4B6326" w:rsidRDefault="00D1468B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0400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0263D9" w:rsidRDefault="00D1468B" w:rsidP="001712B8">
            <w:pPr>
              <w:jc w:val="both"/>
              <w:rPr>
                <w:b/>
              </w:rPr>
            </w:pPr>
            <w:r>
              <w:rPr>
                <w:b/>
              </w:rPr>
              <w:t>157 233,5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177 705,2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171 172,0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4B6326" w:rsidRDefault="00F4478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108,9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4B6326" w:rsidRDefault="00DC5EA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0405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6768E7" w:rsidP="001712B8">
            <w:pPr>
              <w:jc w:val="both"/>
            </w:pPr>
            <w:r>
              <w:t>2 460,6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2 948,4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1 687,0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F4478A" w:rsidP="001712B8">
            <w:pPr>
              <w:jc w:val="both"/>
            </w:pPr>
            <w:r>
              <w:t>68,6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57,2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1468B" w:rsidRPr="00DD57A1" w:rsidRDefault="00D1468B" w:rsidP="00B51854">
            <w:pPr>
              <w:spacing w:line="276" w:lineRule="auto"/>
            </w:pPr>
            <w:r>
              <w:t>0406</w:t>
            </w:r>
          </w:p>
        </w:tc>
        <w:tc>
          <w:tcPr>
            <w:tcW w:w="3685" w:type="dxa"/>
            <w:shd w:val="clear" w:color="auto" w:fill="auto"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6768E7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Default="00D1468B" w:rsidP="001712B8">
            <w:pPr>
              <w:jc w:val="both"/>
            </w:pPr>
            <w:r>
              <w:t>305,6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Default="00D1468B" w:rsidP="001712B8">
            <w:pPr>
              <w:jc w:val="both"/>
            </w:pPr>
            <w:r>
              <w:t>304,6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99,7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0408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6768E7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9 735,9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9 735,9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100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1468B" w:rsidRPr="00DD57A1" w:rsidRDefault="00D1468B" w:rsidP="00B51854">
            <w:pPr>
              <w:spacing w:line="276" w:lineRule="auto"/>
            </w:pPr>
            <w:r>
              <w:t>0409</w:t>
            </w:r>
          </w:p>
        </w:tc>
        <w:tc>
          <w:tcPr>
            <w:tcW w:w="3685" w:type="dxa"/>
            <w:shd w:val="clear" w:color="auto" w:fill="auto"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Default="006768E7" w:rsidP="001712B8">
            <w:pPr>
              <w:jc w:val="both"/>
            </w:pPr>
            <w:r>
              <w:t>153 972,9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Default="00D1468B" w:rsidP="001712B8">
            <w:pPr>
              <w:jc w:val="both"/>
            </w:pPr>
            <w:r>
              <w:t>162 037,8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Default="00D1468B" w:rsidP="001712B8">
            <w:pPr>
              <w:jc w:val="both"/>
            </w:pPr>
            <w:r>
              <w:t>159 444,5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F4478A" w:rsidP="001712B8">
            <w:pPr>
              <w:jc w:val="both"/>
            </w:pPr>
            <w:r>
              <w:t>103,6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98,4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4B6326" w:rsidRDefault="00D1468B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0500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146 878,9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215 709,4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4B6326" w:rsidRDefault="00D1468B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210 221,9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4B6326" w:rsidRDefault="00F4478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4B6326" w:rsidRDefault="00ED536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0501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83 147,0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136 125,3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136 125,3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F4478A" w:rsidP="001712B8">
            <w:pPr>
              <w:jc w:val="both"/>
            </w:pPr>
            <w:r>
              <w:t>163,7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100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0502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8 581,2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7 458,8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ED536A" w:rsidP="001712B8">
            <w:pPr>
              <w:jc w:val="both"/>
            </w:pPr>
            <w:r>
              <w:t>86,9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0503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63 562,3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70 833,3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66 484,4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F4478A" w:rsidP="001712B8">
            <w:pPr>
              <w:jc w:val="both"/>
            </w:pPr>
            <w:r>
              <w:t>104,6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ED536A" w:rsidP="001712B8">
            <w:pPr>
              <w:jc w:val="both"/>
            </w:pPr>
            <w:r>
              <w:t>93,9</w:t>
            </w:r>
          </w:p>
        </w:tc>
      </w:tr>
      <w:tr w:rsidR="00D1468B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DD57A1" w:rsidRDefault="00D1468B" w:rsidP="00B51854">
            <w:pPr>
              <w:spacing w:line="276" w:lineRule="auto"/>
            </w:pPr>
            <w:r w:rsidRPr="00DD57A1">
              <w:t>0505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DD57A1" w:rsidRDefault="00DC5EAF" w:rsidP="001712B8">
            <w:pPr>
              <w:jc w:val="both"/>
            </w:pPr>
            <w:r>
              <w:t>169,6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169,6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DD57A1" w:rsidRDefault="00D1468B" w:rsidP="001712B8">
            <w:pPr>
              <w:jc w:val="both"/>
            </w:pPr>
            <w:r>
              <w:t>153,5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DD57A1" w:rsidRDefault="00F4478A" w:rsidP="001712B8">
            <w:pPr>
              <w:jc w:val="both"/>
            </w:pPr>
            <w:r>
              <w:t>90,5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DD57A1" w:rsidRDefault="00ED536A" w:rsidP="001712B8">
            <w:pPr>
              <w:jc w:val="both"/>
            </w:pPr>
            <w:r>
              <w:t>90,5</w:t>
            </w:r>
          </w:p>
        </w:tc>
      </w:tr>
      <w:tr w:rsidR="00D1468B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1468B" w:rsidRPr="004B6326" w:rsidRDefault="00D1468B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0600</w:t>
            </w:r>
          </w:p>
        </w:tc>
        <w:tc>
          <w:tcPr>
            <w:tcW w:w="3685" w:type="dxa"/>
            <w:shd w:val="clear" w:color="auto" w:fill="auto"/>
            <w:hideMark/>
          </w:tcPr>
          <w:p w:rsidR="00D1468B" w:rsidRPr="001712B8" w:rsidRDefault="00D1468B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noWrap/>
          </w:tcPr>
          <w:p w:rsidR="00D1468B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9 577,0</w:t>
            </w:r>
          </w:p>
        </w:tc>
        <w:tc>
          <w:tcPr>
            <w:tcW w:w="1418" w:type="dxa"/>
            <w:shd w:val="clear" w:color="auto" w:fill="auto"/>
            <w:noWrap/>
          </w:tcPr>
          <w:p w:rsidR="00D1468B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2 192,8</w:t>
            </w:r>
          </w:p>
        </w:tc>
        <w:tc>
          <w:tcPr>
            <w:tcW w:w="1275" w:type="dxa"/>
            <w:shd w:val="clear" w:color="auto" w:fill="auto"/>
            <w:noWrap/>
          </w:tcPr>
          <w:p w:rsidR="00D1468B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2 191,8</w:t>
            </w:r>
          </w:p>
        </w:tc>
        <w:tc>
          <w:tcPr>
            <w:tcW w:w="851" w:type="dxa"/>
            <w:shd w:val="clear" w:color="auto" w:fill="auto"/>
            <w:noWrap/>
          </w:tcPr>
          <w:p w:rsidR="00D1468B" w:rsidRPr="004B6326" w:rsidRDefault="00F4478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  <w:tc>
          <w:tcPr>
            <w:tcW w:w="709" w:type="dxa"/>
            <w:shd w:val="clear" w:color="auto" w:fill="auto"/>
            <w:noWrap/>
          </w:tcPr>
          <w:p w:rsidR="00D1468B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D6367" w:rsidRPr="00DD57A1" w:rsidTr="001712B8">
        <w:trPr>
          <w:trHeight w:val="328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0603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9 577,0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2 192,8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2 191,8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6367" w:rsidRDefault="00F4478A" w:rsidP="00DD6367">
            <w:pPr>
              <w:jc w:val="both"/>
              <w:rPr>
                <w:bCs/>
              </w:rPr>
            </w:pPr>
            <w:r>
              <w:rPr>
                <w:bCs/>
              </w:rPr>
              <w:t>22,9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100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4B6326" w:rsidRDefault="00DD6367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0700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4B6326" w:rsidRDefault="00DD6367" w:rsidP="00DD63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2640917,4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2708265,5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2591986,1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4B6326" w:rsidRDefault="00F4478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4B6326" w:rsidRDefault="00ED536A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0701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890 870,5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874 761,2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854 303,2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95,9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ED536A" w:rsidP="001712B8">
            <w:pPr>
              <w:jc w:val="both"/>
            </w:pPr>
            <w:r>
              <w:t>97,7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0702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1595810,7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1597490,3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1513535,2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94,8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ED536A" w:rsidP="001712B8">
            <w:pPr>
              <w:jc w:val="both"/>
            </w:pPr>
            <w:r>
              <w:t>94,7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0707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75 853,0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105 066,5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101 348,1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133,6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ED536A" w:rsidP="001712B8">
            <w:pPr>
              <w:jc w:val="both"/>
            </w:pPr>
            <w:r>
              <w:t>96,5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0709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Другие вопросы в области </w:t>
            </w:r>
            <w:r w:rsidRPr="001712B8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lastRenderedPageBreak/>
              <w:t>78 383,2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130 947,5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122 799,6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156,6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ED536A" w:rsidP="00AE6F57">
            <w:pPr>
              <w:jc w:val="both"/>
            </w:pPr>
            <w:r>
              <w:t>93,8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4B6326" w:rsidRDefault="00DD6367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lastRenderedPageBreak/>
              <w:t>0800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149 877,6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155 334,3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150 570,5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4B6326" w:rsidRDefault="00F4478A" w:rsidP="00AE6F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4B6326" w:rsidRDefault="00ED536A" w:rsidP="00AE6F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0801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C5EAF" w:rsidP="001712B8">
            <w:pPr>
              <w:jc w:val="both"/>
            </w:pPr>
            <w:r>
              <w:t>137 459,0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143 243,5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138 787,6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100,9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CE5995" w:rsidP="00AE6F57">
            <w:pPr>
              <w:jc w:val="both"/>
            </w:pPr>
            <w:r>
              <w:t>96,9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0804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C5EAF" w:rsidP="001712B8">
            <w:pPr>
              <w:jc w:val="both"/>
            </w:pPr>
            <w:r>
              <w:t>12 418,6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12 090,8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11 783,0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F4478A" w:rsidP="001712B8">
            <w:pPr>
              <w:jc w:val="both"/>
            </w:pPr>
            <w:r>
              <w:t>94,9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97,4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4B6326" w:rsidRDefault="00DD6367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0900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2 721,6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2 721,6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2 721,6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505896" w:rsidRDefault="00DD6367" w:rsidP="001712B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B51854">
            <w:pPr>
              <w:spacing w:line="276" w:lineRule="auto"/>
            </w:pPr>
            <w:r w:rsidRPr="00DD57A1">
              <w:t>0907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6367">
              <w:rPr>
                <w:bCs/>
              </w:rPr>
              <w:t>721,6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6367">
              <w:rPr>
                <w:bCs/>
              </w:rPr>
              <w:t>721,6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6367">
              <w:rPr>
                <w:bCs/>
              </w:rPr>
              <w:t>721,6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</w:pPr>
            <w:r w:rsidRPr="00DD6367"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6367" w:rsidRDefault="00DD6367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100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4B6326" w:rsidRDefault="00DD6367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1000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83 617,9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92 462,0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77 795,0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84,1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3A1399">
            <w:pPr>
              <w:spacing w:line="276" w:lineRule="auto"/>
            </w:pPr>
            <w:r w:rsidRPr="00DD57A1">
              <w:t>100</w:t>
            </w:r>
            <w: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3A1399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 xml:space="preserve">Социальное </w:t>
            </w:r>
            <w:r>
              <w:rPr>
                <w:sz w:val="22"/>
                <w:szCs w:val="22"/>
              </w:rPr>
              <w:t xml:space="preserve">обеспечение </w:t>
            </w:r>
            <w:r w:rsidRPr="001712B8">
              <w:rPr>
                <w:sz w:val="22"/>
                <w:szCs w:val="22"/>
              </w:rPr>
              <w:t>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C5EAF" w:rsidP="001712B8">
            <w:pPr>
              <w:jc w:val="both"/>
            </w:pPr>
            <w:r>
              <w:t>30 212,9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39 057,0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38 114,1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126,1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97,6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DD57A1" w:rsidRDefault="00DD6367" w:rsidP="003A1399">
            <w:pPr>
              <w:spacing w:line="276" w:lineRule="auto"/>
            </w:pPr>
            <w:r w:rsidRPr="00DD57A1">
              <w:t>100</w:t>
            </w: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DD57A1" w:rsidRDefault="00DC5EAF" w:rsidP="001712B8">
            <w:pPr>
              <w:jc w:val="both"/>
            </w:pPr>
            <w:r>
              <w:t>53 405,0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53 405,0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DD57A1" w:rsidRDefault="00DD6367" w:rsidP="001712B8">
            <w:pPr>
              <w:jc w:val="both"/>
            </w:pPr>
            <w:r>
              <w:t>39 680,9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74,3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74,3</w:t>
            </w:r>
          </w:p>
        </w:tc>
      </w:tr>
      <w:tr w:rsidR="00DD6367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DD6367" w:rsidRPr="004B6326" w:rsidRDefault="00DD6367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1100</w:t>
            </w:r>
          </w:p>
        </w:tc>
        <w:tc>
          <w:tcPr>
            <w:tcW w:w="3685" w:type="dxa"/>
            <w:shd w:val="clear" w:color="auto" w:fill="auto"/>
            <w:hideMark/>
          </w:tcPr>
          <w:p w:rsidR="00DD6367" w:rsidRPr="001712B8" w:rsidRDefault="00DD6367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5 881,0</w:t>
            </w:r>
          </w:p>
        </w:tc>
        <w:tc>
          <w:tcPr>
            <w:tcW w:w="1418" w:type="dxa"/>
            <w:shd w:val="clear" w:color="auto" w:fill="auto"/>
            <w:noWrap/>
          </w:tcPr>
          <w:p w:rsidR="00DD6367" w:rsidRPr="004B6326" w:rsidRDefault="00DD6367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10 386,5</w:t>
            </w:r>
          </w:p>
        </w:tc>
        <w:tc>
          <w:tcPr>
            <w:tcW w:w="1275" w:type="dxa"/>
            <w:shd w:val="clear" w:color="auto" w:fill="auto"/>
            <w:noWrap/>
          </w:tcPr>
          <w:p w:rsidR="00DD6367" w:rsidRPr="004B6326" w:rsidRDefault="00DD6367" w:rsidP="00DD63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10 333,4</w:t>
            </w:r>
          </w:p>
        </w:tc>
        <w:tc>
          <w:tcPr>
            <w:tcW w:w="851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175,7</w:t>
            </w:r>
          </w:p>
        </w:tc>
        <w:tc>
          <w:tcPr>
            <w:tcW w:w="709" w:type="dxa"/>
            <w:shd w:val="clear" w:color="auto" w:fill="auto"/>
            <w:noWrap/>
          </w:tcPr>
          <w:p w:rsidR="00DD6367" w:rsidRPr="00DD57A1" w:rsidRDefault="00CE5995" w:rsidP="001712B8">
            <w:pPr>
              <w:jc w:val="both"/>
            </w:pPr>
            <w:r>
              <w:t>99,5</w:t>
            </w:r>
          </w:p>
        </w:tc>
      </w:tr>
      <w:tr w:rsidR="00CE5995" w:rsidRPr="00DD57A1" w:rsidTr="004123C4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DD57A1" w:rsidRDefault="00CE5995" w:rsidP="004123C4">
            <w:pPr>
              <w:spacing w:line="276" w:lineRule="auto"/>
            </w:pPr>
            <w:r w:rsidRPr="00DD57A1">
              <w:t>110</w:t>
            </w: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E5995" w:rsidRPr="001712B8" w:rsidRDefault="00CE5995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DD6367" w:rsidRDefault="00CE5995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5 881,0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DD6367" w:rsidRDefault="00CE5995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10 386,5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DD6367" w:rsidRDefault="00CE5995" w:rsidP="00DD6367">
            <w:pPr>
              <w:jc w:val="both"/>
              <w:rPr>
                <w:bCs/>
              </w:rPr>
            </w:pPr>
            <w:r w:rsidRPr="00DD6367">
              <w:rPr>
                <w:bCs/>
              </w:rPr>
              <w:t>10 333,4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DD57A1" w:rsidRDefault="00CE5995" w:rsidP="00F5485A">
            <w:pPr>
              <w:jc w:val="both"/>
            </w:pPr>
            <w:r>
              <w:t>175,7</w:t>
            </w:r>
          </w:p>
        </w:tc>
        <w:tc>
          <w:tcPr>
            <w:tcW w:w="709" w:type="dxa"/>
            <w:shd w:val="clear" w:color="auto" w:fill="auto"/>
            <w:noWrap/>
          </w:tcPr>
          <w:p w:rsidR="00CE5995" w:rsidRPr="00DD57A1" w:rsidRDefault="00CE5995" w:rsidP="00F5485A">
            <w:pPr>
              <w:jc w:val="both"/>
            </w:pPr>
            <w:r>
              <w:t>99,5</w:t>
            </w:r>
          </w:p>
        </w:tc>
      </w:tr>
      <w:tr w:rsidR="00CE5995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4B6326" w:rsidRDefault="00CE5995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1200</w:t>
            </w:r>
          </w:p>
        </w:tc>
        <w:tc>
          <w:tcPr>
            <w:tcW w:w="3685" w:type="dxa"/>
            <w:shd w:val="clear" w:color="auto" w:fill="auto"/>
            <w:hideMark/>
          </w:tcPr>
          <w:p w:rsidR="00CE5995" w:rsidRPr="001712B8" w:rsidRDefault="00CE5995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6 689,2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6 602,7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98,7</w:t>
            </w:r>
          </w:p>
        </w:tc>
      </w:tr>
      <w:tr w:rsidR="00CE5995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DD57A1" w:rsidRDefault="00CE5995" w:rsidP="004123C4">
            <w:pPr>
              <w:spacing w:line="276" w:lineRule="auto"/>
            </w:pPr>
            <w:r w:rsidRPr="00DD57A1">
              <w:t>120</w:t>
            </w: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CE5995" w:rsidRPr="001712B8" w:rsidRDefault="00CE5995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3A1399" w:rsidRDefault="00CE5995" w:rsidP="00280A7F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826F9A" w:rsidRDefault="00CE5995" w:rsidP="00DD6367">
            <w:pPr>
              <w:jc w:val="both"/>
              <w:rPr>
                <w:bCs/>
              </w:rPr>
            </w:pPr>
            <w:r w:rsidRPr="00826F9A">
              <w:rPr>
                <w:bCs/>
              </w:rPr>
              <w:t>6 689,2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826F9A" w:rsidRDefault="00CE5995" w:rsidP="00DD6367">
            <w:pPr>
              <w:jc w:val="both"/>
              <w:rPr>
                <w:bCs/>
              </w:rPr>
            </w:pPr>
            <w:r w:rsidRPr="00826F9A">
              <w:rPr>
                <w:bCs/>
              </w:rPr>
              <w:t>6 602,7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3A1399" w:rsidRDefault="00CE5995" w:rsidP="00280A7F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5995" w:rsidRPr="003A1399" w:rsidRDefault="00CE5995" w:rsidP="00280A7F">
            <w:pPr>
              <w:jc w:val="both"/>
              <w:rPr>
                <w:bCs/>
              </w:rPr>
            </w:pPr>
            <w:r>
              <w:rPr>
                <w:bCs/>
              </w:rPr>
              <w:t>98,7</w:t>
            </w:r>
          </w:p>
        </w:tc>
      </w:tr>
      <w:tr w:rsidR="00CE5995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4B6326" w:rsidRDefault="00CE5995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1400</w:t>
            </w:r>
          </w:p>
        </w:tc>
        <w:tc>
          <w:tcPr>
            <w:tcW w:w="3685" w:type="dxa"/>
            <w:shd w:val="clear" w:color="auto" w:fill="auto"/>
            <w:hideMark/>
          </w:tcPr>
          <w:p w:rsidR="00CE5995" w:rsidRPr="001712B8" w:rsidRDefault="00CE5995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21 767,9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46 765,9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46 765,9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214,8</w:t>
            </w:r>
          </w:p>
        </w:tc>
        <w:tc>
          <w:tcPr>
            <w:tcW w:w="709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5995" w:rsidRPr="00DD57A1" w:rsidTr="001712B8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DD57A1" w:rsidRDefault="00CE5995" w:rsidP="00B51854">
            <w:pPr>
              <w:spacing w:line="276" w:lineRule="auto"/>
            </w:pPr>
            <w:r w:rsidRPr="00DD57A1">
              <w:t>1401</w:t>
            </w:r>
          </w:p>
        </w:tc>
        <w:tc>
          <w:tcPr>
            <w:tcW w:w="3685" w:type="dxa"/>
            <w:shd w:val="clear" w:color="auto" w:fill="auto"/>
            <w:hideMark/>
          </w:tcPr>
          <w:p w:rsidR="00CE5995" w:rsidRPr="001712B8" w:rsidRDefault="00CE5995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16 714,2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16 599,3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16 599,3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99,3</w:t>
            </w:r>
          </w:p>
        </w:tc>
        <w:tc>
          <w:tcPr>
            <w:tcW w:w="709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100</w:t>
            </w:r>
          </w:p>
        </w:tc>
      </w:tr>
      <w:tr w:rsidR="00CE5995" w:rsidRPr="00DD57A1" w:rsidTr="001712B8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DD57A1" w:rsidRDefault="00CE5995" w:rsidP="00B51854">
            <w:pPr>
              <w:spacing w:line="276" w:lineRule="auto"/>
            </w:pPr>
            <w:r w:rsidRPr="00DD57A1">
              <w:t>1403</w:t>
            </w:r>
          </w:p>
        </w:tc>
        <w:tc>
          <w:tcPr>
            <w:tcW w:w="3685" w:type="dxa"/>
            <w:shd w:val="clear" w:color="auto" w:fill="auto"/>
            <w:hideMark/>
          </w:tcPr>
          <w:p w:rsidR="00CE5995" w:rsidRPr="001712B8" w:rsidRDefault="00CE5995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5 053,7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30 166,7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30 166,7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597</w:t>
            </w:r>
          </w:p>
        </w:tc>
        <w:tc>
          <w:tcPr>
            <w:tcW w:w="709" w:type="dxa"/>
            <w:shd w:val="clear" w:color="auto" w:fill="auto"/>
            <w:noWrap/>
          </w:tcPr>
          <w:p w:rsidR="00CE5995" w:rsidRPr="00DD57A1" w:rsidRDefault="00CE5995" w:rsidP="001712B8">
            <w:pPr>
              <w:jc w:val="both"/>
            </w:pPr>
            <w:r>
              <w:t>100</w:t>
            </w:r>
          </w:p>
        </w:tc>
      </w:tr>
      <w:tr w:rsidR="00CE5995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CE5995" w:rsidRPr="004B6326" w:rsidRDefault="00CE5995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CE5995" w:rsidRPr="001712B8" w:rsidRDefault="00CE5995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3351003,6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3 803 895,3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4B6326" w:rsidRDefault="00CE5995" w:rsidP="00826F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3646948,9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  <w:tc>
          <w:tcPr>
            <w:tcW w:w="709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95,9</w:t>
            </w:r>
          </w:p>
        </w:tc>
      </w:tr>
      <w:tr w:rsidR="00CE5995" w:rsidRPr="00DD57A1" w:rsidTr="001712B8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CE5995" w:rsidRPr="004B6326" w:rsidRDefault="00CE5995" w:rsidP="00B518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CE5995" w:rsidRPr="001712B8" w:rsidRDefault="00CE5995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712B8">
              <w:rPr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1712B8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-58 931,8</w:t>
            </w:r>
          </w:p>
        </w:tc>
        <w:tc>
          <w:tcPr>
            <w:tcW w:w="1275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118 420,0</w:t>
            </w:r>
          </w:p>
        </w:tc>
        <w:tc>
          <w:tcPr>
            <w:tcW w:w="851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E5995" w:rsidRPr="004B6326" w:rsidRDefault="00CE5995" w:rsidP="001712B8">
            <w:pPr>
              <w:jc w:val="both"/>
              <w:rPr>
                <w:b/>
                <w:bCs/>
              </w:rPr>
            </w:pPr>
          </w:p>
        </w:tc>
      </w:tr>
    </w:tbl>
    <w:p w:rsidR="00700662" w:rsidRDefault="00700662" w:rsidP="00B51854">
      <w:pPr>
        <w:spacing w:line="276" w:lineRule="auto"/>
      </w:pPr>
    </w:p>
    <w:p w:rsidR="00D86C92" w:rsidRDefault="00D86C92" w:rsidP="00D86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C92">
        <w:rPr>
          <w:sz w:val="28"/>
          <w:szCs w:val="28"/>
        </w:rPr>
        <w:t>Анализ исполнения расходов по разделам функциональной структуры расходов установил, что в 2016 году исполнены в полном объеме следующие разделы:</w:t>
      </w:r>
    </w:p>
    <w:p w:rsidR="00D86C92" w:rsidRDefault="00D86C92" w:rsidP="00D86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оборона»;</w:t>
      </w:r>
    </w:p>
    <w:p w:rsidR="00D86C92" w:rsidRPr="00D86C92" w:rsidRDefault="00D86C92" w:rsidP="00D86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среды»;</w:t>
      </w:r>
    </w:p>
    <w:p w:rsidR="00D86C92" w:rsidRPr="00D86C92" w:rsidRDefault="00D86C92" w:rsidP="00D86C92">
      <w:pPr>
        <w:spacing w:line="276" w:lineRule="auto"/>
        <w:jc w:val="both"/>
        <w:rPr>
          <w:bCs/>
          <w:sz w:val="28"/>
          <w:szCs w:val="28"/>
        </w:rPr>
      </w:pPr>
      <w:r w:rsidRPr="00D86C92">
        <w:rPr>
          <w:bCs/>
          <w:sz w:val="28"/>
          <w:szCs w:val="28"/>
        </w:rPr>
        <w:t>- «Здравоохранение»;</w:t>
      </w:r>
    </w:p>
    <w:p w:rsidR="00D86C92" w:rsidRDefault="00D86C92" w:rsidP="00D86C92">
      <w:pPr>
        <w:spacing w:line="276" w:lineRule="auto"/>
        <w:jc w:val="both"/>
        <w:rPr>
          <w:bCs/>
          <w:sz w:val="28"/>
          <w:szCs w:val="28"/>
        </w:rPr>
      </w:pPr>
      <w:r w:rsidRPr="00D86C92">
        <w:rPr>
          <w:bCs/>
          <w:sz w:val="28"/>
          <w:szCs w:val="28"/>
        </w:rPr>
        <w:t>- «Межбюджетные трансферты общего характера бюджетам субъектов и муниципальных образований».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7624EF">
        <w:rPr>
          <w:sz w:val="28"/>
          <w:szCs w:val="28"/>
        </w:rPr>
        <w:t xml:space="preserve">иже утвержденных показателей исполнены расходы по </w:t>
      </w:r>
      <w:r>
        <w:rPr>
          <w:sz w:val="28"/>
          <w:szCs w:val="28"/>
        </w:rPr>
        <w:t>девяти</w:t>
      </w:r>
      <w:r w:rsidRPr="007624EF">
        <w:rPr>
          <w:sz w:val="28"/>
          <w:szCs w:val="28"/>
        </w:rPr>
        <w:t xml:space="preserve">  разделам</w:t>
      </w:r>
      <w:r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«Общегосударственные вопросы» –  </w:t>
      </w:r>
      <w:r>
        <w:rPr>
          <w:sz w:val="28"/>
          <w:szCs w:val="28"/>
        </w:rPr>
        <w:t>358 755,1</w:t>
      </w:r>
      <w:r w:rsidRPr="007624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7624EF">
        <w:rPr>
          <w:sz w:val="28"/>
          <w:szCs w:val="28"/>
        </w:rPr>
        <w:t xml:space="preserve"> или </w:t>
      </w:r>
      <w:r>
        <w:rPr>
          <w:sz w:val="28"/>
          <w:szCs w:val="28"/>
        </w:rPr>
        <w:t>97,5</w:t>
      </w:r>
      <w:r w:rsidRPr="007624E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Pr="007624EF">
        <w:rPr>
          <w:sz w:val="28"/>
          <w:szCs w:val="28"/>
        </w:rPr>
        <w:t xml:space="preserve">бюджетные ассигнования освоены в сумме </w:t>
      </w:r>
      <w:r>
        <w:rPr>
          <w:sz w:val="28"/>
          <w:szCs w:val="28"/>
        </w:rPr>
        <w:t>14 559,9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99,9</w:t>
      </w:r>
      <w:r w:rsidRPr="007624EF">
        <w:rPr>
          <w:sz w:val="28"/>
          <w:szCs w:val="28"/>
        </w:rPr>
        <w:t>% от утвержденного показателя;</w:t>
      </w:r>
    </w:p>
    <w:p w:rsidR="00D86C92" w:rsidRPr="007624EF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экономика» - </w:t>
      </w:r>
      <w:r>
        <w:rPr>
          <w:sz w:val="28"/>
          <w:szCs w:val="28"/>
        </w:rPr>
        <w:t>171 172,0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96,3</w:t>
      </w:r>
      <w:r w:rsidRPr="007624EF">
        <w:rPr>
          <w:sz w:val="28"/>
          <w:szCs w:val="28"/>
        </w:rPr>
        <w:t>%;</w:t>
      </w:r>
    </w:p>
    <w:p w:rsidR="00D86C92" w:rsidRPr="007624EF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 «Жилищно-коммунальное хозяйство» –  </w:t>
      </w:r>
      <w:r>
        <w:rPr>
          <w:sz w:val="28"/>
          <w:szCs w:val="28"/>
        </w:rPr>
        <w:t>210 221,9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97,4</w:t>
      </w:r>
      <w:r w:rsidRPr="007624EF">
        <w:rPr>
          <w:sz w:val="28"/>
          <w:szCs w:val="28"/>
        </w:rPr>
        <w:t>%;</w:t>
      </w:r>
    </w:p>
    <w:p w:rsidR="00D86C92" w:rsidRPr="007624EF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«Образование» - </w:t>
      </w:r>
      <w:r>
        <w:rPr>
          <w:sz w:val="28"/>
          <w:szCs w:val="28"/>
        </w:rPr>
        <w:t>2 591 986,1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95,7</w:t>
      </w:r>
      <w:r w:rsidRPr="007624EF">
        <w:rPr>
          <w:sz w:val="28"/>
          <w:szCs w:val="28"/>
        </w:rPr>
        <w:t>%;</w:t>
      </w:r>
    </w:p>
    <w:p w:rsidR="00D86C92" w:rsidRPr="007624EF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lastRenderedPageBreak/>
        <w:t xml:space="preserve">- «Культура, кинематография» - </w:t>
      </w:r>
      <w:r>
        <w:rPr>
          <w:sz w:val="28"/>
          <w:szCs w:val="28"/>
        </w:rPr>
        <w:t>150 570,6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 xml:space="preserve">. или </w:t>
      </w:r>
      <w:r>
        <w:rPr>
          <w:sz w:val="28"/>
          <w:szCs w:val="28"/>
        </w:rPr>
        <w:t>96,9%</w:t>
      </w:r>
      <w:r w:rsidRPr="007624EF">
        <w:rPr>
          <w:sz w:val="28"/>
          <w:szCs w:val="28"/>
        </w:rPr>
        <w:t>;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«Социальная политика» – </w:t>
      </w:r>
      <w:r>
        <w:rPr>
          <w:sz w:val="28"/>
          <w:szCs w:val="28"/>
        </w:rPr>
        <w:t>77 795,0</w:t>
      </w:r>
      <w:r w:rsidRPr="007624E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7624EF">
        <w:rPr>
          <w:sz w:val="28"/>
          <w:szCs w:val="28"/>
        </w:rPr>
        <w:t xml:space="preserve"> или </w:t>
      </w:r>
      <w:r>
        <w:rPr>
          <w:sz w:val="28"/>
          <w:szCs w:val="28"/>
        </w:rPr>
        <w:t>84,1</w:t>
      </w:r>
      <w:r w:rsidRPr="007624EF">
        <w:rPr>
          <w:sz w:val="28"/>
          <w:szCs w:val="28"/>
        </w:rPr>
        <w:t>%;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«Физическая культура и спорт» - 10 333,4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99,5%;</w:t>
      </w:r>
    </w:p>
    <w:p w:rsidR="00D86C92" w:rsidRDefault="00D86C92" w:rsidP="00D86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«Средства массовой информации» - 6 602,7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98,7%.</w:t>
      </w:r>
    </w:p>
    <w:p w:rsidR="001B1114" w:rsidRPr="001B1114" w:rsidRDefault="001B1114" w:rsidP="00D86C92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1B1114">
        <w:rPr>
          <w:bCs/>
          <w:sz w:val="28"/>
          <w:szCs w:val="28"/>
        </w:rPr>
        <w:t xml:space="preserve">В целом расходы бюджета не исполнены на </w:t>
      </w:r>
      <w:r>
        <w:rPr>
          <w:bCs/>
          <w:sz w:val="28"/>
          <w:szCs w:val="28"/>
        </w:rPr>
        <w:t>156 946,5</w:t>
      </w:r>
      <w:r w:rsidRPr="001B1114">
        <w:rPr>
          <w:bCs/>
          <w:sz w:val="28"/>
          <w:szCs w:val="28"/>
        </w:rPr>
        <w:t> </w:t>
      </w:r>
      <w:proofErr w:type="spellStart"/>
      <w:r w:rsidRPr="001B1114">
        <w:rPr>
          <w:bCs/>
          <w:sz w:val="28"/>
          <w:szCs w:val="28"/>
        </w:rPr>
        <w:t>тыс</w:t>
      </w:r>
      <w:proofErr w:type="gramStart"/>
      <w:r w:rsidRPr="001B1114">
        <w:rPr>
          <w:bCs/>
          <w:sz w:val="28"/>
          <w:szCs w:val="28"/>
        </w:rPr>
        <w:t>.р</w:t>
      </w:r>
      <w:proofErr w:type="gramEnd"/>
      <w:r w:rsidRPr="001B1114">
        <w:rPr>
          <w:bCs/>
          <w:sz w:val="28"/>
          <w:szCs w:val="28"/>
        </w:rPr>
        <w:t>уб</w:t>
      </w:r>
      <w:proofErr w:type="spellEnd"/>
      <w:r w:rsidR="00827310">
        <w:rPr>
          <w:bCs/>
          <w:sz w:val="28"/>
          <w:szCs w:val="28"/>
        </w:rPr>
        <w:t>.,</w:t>
      </w:r>
      <w:r w:rsidRPr="001B1114">
        <w:rPr>
          <w:bCs/>
          <w:sz w:val="28"/>
          <w:szCs w:val="28"/>
        </w:rPr>
        <w:t xml:space="preserve"> что составляет </w:t>
      </w:r>
      <w:r>
        <w:rPr>
          <w:bCs/>
          <w:sz w:val="28"/>
          <w:szCs w:val="28"/>
        </w:rPr>
        <w:t xml:space="preserve">4,1% </w:t>
      </w:r>
      <w:r w:rsidRPr="001B1114">
        <w:rPr>
          <w:bCs/>
          <w:sz w:val="28"/>
          <w:szCs w:val="28"/>
        </w:rPr>
        <w:t>от плановых назначений.</w:t>
      </w:r>
    </w:p>
    <w:p w:rsidR="001B1114" w:rsidRPr="001B1114" w:rsidRDefault="001B1114" w:rsidP="001B1114">
      <w:pPr>
        <w:spacing w:line="276" w:lineRule="auto"/>
        <w:ind w:firstLine="720"/>
        <w:jc w:val="both"/>
        <w:rPr>
          <w:sz w:val="28"/>
          <w:szCs w:val="28"/>
        </w:rPr>
      </w:pPr>
      <w:r w:rsidRPr="001B1114">
        <w:rPr>
          <w:sz w:val="28"/>
          <w:szCs w:val="28"/>
        </w:rPr>
        <w:t xml:space="preserve">В расходах бюджета </w:t>
      </w:r>
      <w:r>
        <w:rPr>
          <w:sz w:val="28"/>
          <w:szCs w:val="28"/>
        </w:rPr>
        <w:t xml:space="preserve">Альметьевского </w:t>
      </w:r>
      <w:r w:rsidRPr="001B111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1B1114">
        <w:rPr>
          <w:sz w:val="28"/>
          <w:szCs w:val="28"/>
        </w:rPr>
        <w:t xml:space="preserve">наибольший удельный вес приходится на следующие разделы: «Образование»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71,1%</w:t>
      </w:r>
      <w:r w:rsidRPr="001B1114">
        <w:rPr>
          <w:sz w:val="28"/>
          <w:szCs w:val="28"/>
        </w:rPr>
        <w:t xml:space="preserve">, </w:t>
      </w:r>
      <w:r w:rsidR="002D79CC" w:rsidRPr="001B1114">
        <w:rPr>
          <w:sz w:val="28"/>
          <w:szCs w:val="28"/>
        </w:rPr>
        <w:t xml:space="preserve">«Общегосударственные вопросы» </w:t>
      </w:r>
      <w:r w:rsidR="002D79CC"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9,8%</w:t>
      </w:r>
      <w:r w:rsidR="002D79CC" w:rsidRPr="001B1114">
        <w:rPr>
          <w:sz w:val="28"/>
          <w:szCs w:val="28"/>
        </w:rPr>
        <w:t xml:space="preserve">, </w:t>
      </w:r>
      <w:r w:rsidRPr="001B1114">
        <w:rPr>
          <w:sz w:val="28"/>
          <w:szCs w:val="28"/>
        </w:rPr>
        <w:t xml:space="preserve">«Жилищно-коммунальное хозяйство»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5,8%</w:t>
      </w:r>
      <w:r w:rsidRPr="001B1114">
        <w:rPr>
          <w:sz w:val="28"/>
          <w:szCs w:val="28"/>
        </w:rPr>
        <w:t xml:space="preserve">, «Национальная экономика»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4,7</w:t>
      </w:r>
      <w:r w:rsidRPr="001B1114">
        <w:rPr>
          <w:sz w:val="28"/>
          <w:szCs w:val="28"/>
        </w:rPr>
        <w:t> процента</w:t>
      </w:r>
      <w:r w:rsidR="002D79CC">
        <w:rPr>
          <w:sz w:val="28"/>
          <w:szCs w:val="28"/>
        </w:rPr>
        <w:t xml:space="preserve">, </w:t>
      </w:r>
      <w:r w:rsidR="002D79CC" w:rsidRPr="001B1114">
        <w:rPr>
          <w:sz w:val="28"/>
          <w:szCs w:val="28"/>
        </w:rPr>
        <w:t xml:space="preserve">«Культура и кинематография» </w:t>
      </w:r>
      <w:r w:rsidR="002D79CC"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4,1%</w:t>
      </w:r>
      <w:r w:rsidRPr="001B1114">
        <w:rPr>
          <w:sz w:val="28"/>
          <w:szCs w:val="28"/>
        </w:rPr>
        <w:t>.</w:t>
      </w:r>
    </w:p>
    <w:p w:rsidR="001B1114" w:rsidRDefault="001B1114" w:rsidP="001B1114">
      <w:pPr>
        <w:spacing w:line="276" w:lineRule="auto"/>
        <w:ind w:firstLine="720"/>
        <w:jc w:val="both"/>
        <w:rPr>
          <w:sz w:val="28"/>
          <w:szCs w:val="28"/>
        </w:rPr>
      </w:pPr>
      <w:r w:rsidRPr="001B1114">
        <w:rPr>
          <w:sz w:val="28"/>
          <w:szCs w:val="28"/>
        </w:rPr>
        <w:t xml:space="preserve">Наименьший удельный вес в расходах бюджета приходится на разделы: «Социальная политика»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2,1%</w:t>
      </w:r>
      <w:r w:rsidRPr="001B1114">
        <w:rPr>
          <w:sz w:val="28"/>
          <w:szCs w:val="28"/>
        </w:rPr>
        <w:t xml:space="preserve">, </w:t>
      </w:r>
      <w:r w:rsidR="002D79CC" w:rsidRPr="001B1114">
        <w:rPr>
          <w:sz w:val="28"/>
          <w:szCs w:val="28"/>
        </w:rPr>
        <w:t xml:space="preserve">«Межбюджетные трансферты общего характера» </w:t>
      </w:r>
      <w:r w:rsidR="002D79CC"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1,3%</w:t>
      </w:r>
      <w:r w:rsidR="002D79CC" w:rsidRPr="001B1114">
        <w:rPr>
          <w:sz w:val="28"/>
          <w:szCs w:val="28"/>
        </w:rPr>
        <w:t xml:space="preserve">, </w:t>
      </w:r>
      <w:r w:rsidRPr="001B1114">
        <w:rPr>
          <w:sz w:val="28"/>
          <w:szCs w:val="28"/>
        </w:rPr>
        <w:t xml:space="preserve">«Национальная безопасность и правоохранительная деятельность»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0,4%</w:t>
      </w:r>
      <w:r w:rsidRPr="001B1114">
        <w:rPr>
          <w:sz w:val="28"/>
          <w:szCs w:val="28"/>
        </w:rPr>
        <w:t xml:space="preserve">, «Физическая культура и спорт»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0,3%</w:t>
      </w:r>
      <w:r w:rsidRPr="001B1114">
        <w:rPr>
          <w:sz w:val="28"/>
          <w:szCs w:val="28"/>
        </w:rPr>
        <w:t xml:space="preserve">, </w:t>
      </w:r>
      <w:r w:rsidR="002D79CC">
        <w:rPr>
          <w:sz w:val="28"/>
          <w:szCs w:val="28"/>
        </w:rPr>
        <w:t xml:space="preserve">«Национальная оборона» - 0,1%, </w:t>
      </w:r>
      <w:r w:rsidRPr="001B1114">
        <w:rPr>
          <w:sz w:val="28"/>
          <w:szCs w:val="28"/>
        </w:rPr>
        <w:t xml:space="preserve"> «Здравоохранение» </w:t>
      </w:r>
      <w:r w:rsidRPr="001B1114">
        <w:rPr>
          <w:bCs/>
          <w:sz w:val="28"/>
          <w:szCs w:val="28"/>
        </w:rPr>
        <w:t xml:space="preserve">– </w:t>
      </w:r>
      <w:r w:rsidR="002D79CC">
        <w:rPr>
          <w:bCs/>
          <w:sz w:val="28"/>
          <w:szCs w:val="28"/>
        </w:rPr>
        <w:t>0,1%</w:t>
      </w:r>
      <w:r w:rsidRPr="001B1114">
        <w:rPr>
          <w:sz w:val="28"/>
          <w:szCs w:val="28"/>
        </w:rPr>
        <w:t xml:space="preserve">, «Охрана окружающей среды» </w:t>
      </w:r>
      <w:r w:rsidRPr="001B1114">
        <w:rPr>
          <w:bCs/>
          <w:sz w:val="28"/>
          <w:szCs w:val="28"/>
        </w:rPr>
        <w:t xml:space="preserve">– </w:t>
      </w:r>
      <w:r w:rsidRPr="001B1114">
        <w:rPr>
          <w:sz w:val="28"/>
          <w:szCs w:val="28"/>
        </w:rPr>
        <w:t>0,1 </w:t>
      </w:r>
      <w:r w:rsidR="002D79CC">
        <w:rPr>
          <w:sz w:val="28"/>
          <w:szCs w:val="28"/>
        </w:rPr>
        <w:t>%</w:t>
      </w:r>
      <w:r w:rsidRPr="001B1114">
        <w:rPr>
          <w:sz w:val="28"/>
          <w:szCs w:val="28"/>
        </w:rPr>
        <w:t>.</w:t>
      </w:r>
    </w:p>
    <w:p w:rsidR="00F85B4D" w:rsidRDefault="00F85B4D" w:rsidP="00F85B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77,7 %  или 2 833 406,7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840"/>
        <w:gridCol w:w="2098"/>
      </w:tblGrid>
      <w:tr w:rsidR="00F85B4D" w:rsidRPr="00F05F3B" w:rsidTr="009719FF">
        <w:trPr>
          <w:trHeight w:val="521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Наименование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ind w:right="17"/>
              <w:jc w:val="center"/>
            </w:pPr>
            <w:r w:rsidRPr="009719FF">
              <w:t>Исполнено в 2016г.,</w:t>
            </w:r>
          </w:p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тыс. руб.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Удельный вес, %</w:t>
            </w:r>
          </w:p>
        </w:tc>
      </w:tr>
      <w:tr w:rsidR="00F85B4D" w:rsidRPr="00F05F3B" w:rsidTr="009719FF">
        <w:trPr>
          <w:trHeight w:val="370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Образование и молодежная политика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2 591 986,1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71,1</w:t>
            </w:r>
          </w:p>
        </w:tc>
      </w:tr>
      <w:tr w:rsidR="00F85B4D" w:rsidRPr="00F05F3B" w:rsidTr="009719FF">
        <w:trPr>
          <w:trHeight w:val="405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Культура, кинематография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150 570,6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4,1</w:t>
            </w:r>
          </w:p>
        </w:tc>
      </w:tr>
      <w:tr w:rsidR="00F85B4D" w:rsidRPr="00F05F3B" w:rsidTr="009719FF">
        <w:trPr>
          <w:trHeight w:val="299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Здравоохранение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2 721,6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0,1</w:t>
            </w:r>
          </w:p>
        </w:tc>
      </w:tr>
      <w:tr w:rsidR="00F85B4D" w:rsidRPr="00F05F3B" w:rsidTr="009719FF">
        <w:trPr>
          <w:trHeight w:val="335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Физическая культура и спорт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10 333,4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0,3</w:t>
            </w:r>
          </w:p>
        </w:tc>
      </w:tr>
      <w:tr w:rsidR="00F85B4D" w:rsidRPr="00F05F3B" w:rsidTr="009719FF">
        <w:trPr>
          <w:trHeight w:val="371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Социальная политика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77 795,0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2,1</w:t>
            </w:r>
          </w:p>
        </w:tc>
      </w:tr>
      <w:tr w:rsidR="00F85B4D" w:rsidRPr="00F05F3B" w:rsidTr="009719FF">
        <w:trPr>
          <w:trHeight w:val="265"/>
          <w:jc w:val="center"/>
        </w:trPr>
        <w:tc>
          <w:tcPr>
            <w:tcW w:w="4605" w:type="dxa"/>
            <w:vAlign w:val="center"/>
          </w:tcPr>
          <w:p w:rsidR="00F85B4D" w:rsidRPr="009719FF" w:rsidRDefault="00F85B4D" w:rsidP="00BB798C">
            <w:pPr>
              <w:spacing w:line="276" w:lineRule="auto"/>
            </w:pPr>
            <w:r w:rsidRPr="009719FF">
              <w:t>ИТОГО</w:t>
            </w:r>
          </w:p>
        </w:tc>
        <w:tc>
          <w:tcPr>
            <w:tcW w:w="2840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2 833 406,7</w:t>
            </w:r>
          </w:p>
        </w:tc>
        <w:tc>
          <w:tcPr>
            <w:tcW w:w="2098" w:type="dxa"/>
            <w:vAlign w:val="center"/>
          </w:tcPr>
          <w:p w:rsidR="00F85B4D" w:rsidRPr="009719FF" w:rsidRDefault="00F85B4D" w:rsidP="00BB798C">
            <w:pPr>
              <w:spacing w:line="276" w:lineRule="auto"/>
              <w:jc w:val="center"/>
            </w:pPr>
            <w:r w:rsidRPr="009719FF">
              <w:t>77,7</w:t>
            </w:r>
          </w:p>
        </w:tc>
      </w:tr>
    </w:tbl>
    <w:p w:rsidR="009719FF" w:rsidRDefault="009719FF" w:rsidP="007E6CAB">
      <w:pPr>
        <w:spacing w:line="276" w:lineRule="auto"/>
        <w:ind w:firstLine="720"/>
        <w:jc w:val="both"/>
        <w:rPr>
          <w:sz w:val="28"/>
          <w:szCs w:val="28"/>
        </w:rPr>
      </w:pPr>
    </w:p>
    <w:p w:rsidR="007E6CAB" w:rsidRPr="007E6CAB" w:rsidRDefault="00F85B4D" w:rsidP="007E6CAB">
      <w:pPr>
        <w:spacing w:line="276" w:lineRule="auto"/>
        <w:ind w:firstLine="720"/>
        <w:jc w:val="both"/>
        <w:rPr>
          <w:sz w:val="28"/>
          <w:szCs w:val="28"/>
        </w:rPr>
      </w:pPr>
      <w:r w:rsidRPr="007E6CAB">
        <w:rPr>
          <w:sz w:val="28"/>
          <w:szCs w:val="28"/>
        </w:rPr>
        <w:t xml:space="preserve"> </w:t>
      </w:r>
      <w:r w:rsidR="007E6CAB" w:rsidRPr="007E6CAB">
        <w:rPr>
          <w:sz w:val="28"/>
          <w:szCs w:val="28"/>
        </w:rPr>
        <w:t xml:space="preserve">Аналогичные расходы бюджета за предыдущий период составили </w:t>
      </w:r>
      <w:r w:rsidR="007E6CAB">
        <w:rPr>
          <w:sz w:val="28"/>
          <w:szCs w:val="28"/>
        </w:rPr>
        <w:t>2 715 845,1</w:t>
      </w:r>
      <w:r w:rsidR="007E6CAB" w:rsidRPr="007E6CAB">
        <w:rPr>
          <w:sz w:val="28"/>
          <w:szCs w:val="28"/>
        </w:rPr>
        <w:t> </w:t>
      </w:r>
      <w:proofErr w:type="spellStart"/>
      <w:r w:rsidR="007E6CAB" w:rsidRPr="007E6CAB">
        <w:rPr>
          <w:sz w:val="28"/>
          <w:szCs w:val="28"/>
        </w:rPr>
        <w:t>тыс</w:t>
      </w:r>
      <w:proofErr w:type="gramStart"/>
      <w:r w:rsidR="007E6CAB" w:rsidRPr="007E6CAB">
        <w:rPr>
          <w:sz w:val="28"/>
          <w:szCs w:val="28"/>
        </w:rPr>
        <w:t>.р</w:t>
      </w:r>
      <w:proofErr w:type="gramEnd"/>
      <w:r w:rsidR="007E6CAB" w:rsidRPr="007E6CAB">
        <w:rPr>
          <w:sz w:val="28"/>
          <w:szCs w:val="28"/>
        </w:rPr>
        <w:t>уб</w:t>
      </w:r>
      <w:proofErr w:type="spellEnd"/>
      <w:r w:rsidR="00B13844">
        <w:rPr>
          <w:sz w:val="28"/>
          <w:szCs w:val="28"/>
        </w:rPr>
        <w:t>.</w:t>
      </w:r>
      <w:r w:rsidR="007E6CAB" w:rsidRPr="007E6CAB">
        <w:rPr>
          <w:sz w:val="28"/>
          <w:szCs w:val="28"/>
        </w:rPr>
        <w:t xml:space="preserve"> или </w:t>
      </w:r>
      <w:r w:rsidR="007E6CAB">
        <w:rPr>
          <w:sz w:val="28"/>
          <w:szCs w:val="28"/>
        </w:rPr>
        <w:t>80,6%</w:t>
      </w:r>
      <w:r w:rsidR="007E6CAB" w:rsidRPr="007E6CAB">
        <w:rPr>
          <w:sz w:val="28"/>
          <w:szCs w:val="28"/>
        </w:rPr>
        <w:t>, т</w:t>
      </w:r>
      <w:r w:rsidR="007E6CAB">
        <w:rPr>
          <w:sz w:val="28"/>
          <w:szCs w:val="28"/>
        </w:rPr>
        <w:t>о есть,</w:t>
      </w:r>
      <w:r w:rsidR="007E6CAB" w:rsidRPr="007E6CAB">
        <w:rPr>
          <w:sz w:val="28"/>
          <w:szCs w:val="28"/>
        </w:rPr>
        <w:t xml:space="preserve"> удельный вес расходов на социальную сферу в 2016 году </w:t>
      </w:r>
      <w:r w:rsidR="008B270A">
        <w:rPr>
          <w:sz w:val="28"/>
          <w:szCs w:val="28"/>
        </w:rPr>
        <w:t>уменьшен на 2,</w:t>
      </w:r>
      <w:r w:rsidR="008B270A" w:rsidRPr="008B270A">
        <w:rPr>
          <w:sz w:val="28"/>
          <w:szCs w:val="28"/>
        </w:rPr>
        <w:t>9 процентных пункта</w:t>
      </w:r>
      <w:r w:rsidR="008B270A" w:rsidRPr="004906F4">
        <w:rPr>
          <w:sz w:val="30"/>
          <w:szCs w:val="30"/>
        </w:rPr>
        <w:t xml:space="preserve"> </w:t>
      </w:r>
      <w:r w:rsidR="008B270A" w:rsidRPr="008B270A">
        <w:rPr>
          <w:sz w:val="28"/>
          <w:szCs w:val="28"/>
        </w:rPr>
        <w:t>при</w:t>
      </w:r>
      <w:r w:rsidR="008B270A">
        <w:rPr>
          <w:sz w:val="28"/>
          <w:szCs w:val="28"/>
        </w:rPr>
        <w:t xml:space="preserve"> </w:t>
      </w:r>
      <w:r w:rsidR="007E6CAB" w:rsidRPr="007E6CAB">
        <w:rPr>
          <w:sz w:val="28"/>
          <w:szCs w:val="28"/>
        </w:rPr>
        <w:t xml:space="preserve"> абсолютном увеличении расходов на </w:t>
      </w:r>
      <w:r w:rsidR="008B270A">
        <w:rPr>
          <w:sz w:val="28"/>
          <w:szCs w:val="28"/>
        </w:rPr>
        <w:t>117 561,6</w:t>
      </w:r>
      <w:r w:rsidR="007E6CAB" w:rsidRPr="007E6CAB">
        <w:rPr>
          <w:sz w:val="28"/>
          <w:szCs w:val="28"/>
        </w:rPr>
        <w:t> </w:t>
      </w:r>
      <w:proofErr w:type="spellStart"/>
      <w:r w:rsidR="007E6CAB" w:rsidRPr="007E6CAB">
        <w:rPr>
          <w:sz w:val="28"/>
          <w:szCs w:val="28"/>
        </w:rPr>
        <w:t>тыс.руб</w:t>
      </w:r>
      <w:proofErr w:type="spellEnd"/>
      <w:r w:rsidR="00B13844">
        <w:rPr>
          <w:sz w:val="28"/>
          <w:szCs w:val="28"/>
        </w:rPr>
        <w:t>.</w:t>
      </w:r>
    </w:p>
    <w:p w:rsidR="007E6CAB" w:rsidRPr="007E6CAB" w:rsidRDefault="007E6CAB" w:rsidP="007E6CAB">
      <w:pPr>
        <w:spacing w:line="276" w:lineRule="auto"/>
        <w:ind w:firstLine="720"/>
        <w:jc w:val="both"/>
        <w:rPr>
          <w:sz w:val="28"/>
          <w:szCs w:val="28"/>
        </w:rPr>
      </w:pPr>
      <w:r w:rsidRPr="007E6CAB">
        <w:rPr>
          <w:sz w:val="28"/>
          <w:szCs w:val="28"/>
        </w:rPr>
        <w:t xml:space="preserve">При утверждении бюджета на 2016 год расходы на социальную сферу были предусмотрены в размере </w:t>
      </w:r>
      <w:r w:rsidR="008B270A">
        <w:rPr>
          <w:sz w:val="28"/>
          <w:szCs w:val="28"/>
        </w:rPr>
        <w:t>2 883 015,5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</w:t>
      </w:r>
      <w:proofErr w:type="gramStart"/>
      <w:r w:rsidRPr="007E6CAB">
        <w:rPr>
          <w:sz w:val="28"/>
          <w:szCs w:val="28"/>
        </w:rPr>
        <w:t>.р</w:t>
      </w:r>
      <w:proofErr w:type="gramEnd"/>
      <w:r w:rsidRPr="007E6CAB">
        <w:rPr>
          <w:sz w:val="28"/>
          <w:szCs w:val="28"/>
        </w:rPr>
        <w:t>уб</w:t>
      </w:r>
      <w:proofErr w:type="spellEnd"/>
      <w:r w:rsidR="00B13844">
        <w:rPr>
          <w:sz w:val="28"/>
          <w:szCs w:val="28"/>
        </w:rPr>
        <w:t xml:space="preserve">. </w:t>
      </w:r>
      <w:r w:rsidRPr="007E6CAB">
        <w:rPr>
          <w:sz w:val="28"/>
          <w:szCs w:val="28"/>
        </w:rPr>
        <w:t xml:space="preserve">или </w:t>
      </w:r>
      <w:r w:rsidR="008B270A">
        <w:rPr>
          <w:sz w:val="28"/>
          <w:szCs w:val="28"/>
        </w:rPr>
        <w:t>86%</w:t>
      </w:r>
      <w:r w:rsidRPr="007E6CAB">
        <w:rPr>
          <w:sz w:val="28"/>
          <w:szCs w:val="28"/>
        </w:rPr>
        <w:t xml:space="preserve"> от расходной части бюджета. В процессе исполнения бюджета расходы на данную сферу были увеличены на </w:t>
      </w:r>
      <w:r w:rsidR="00B13844">
        <w:rPr>
          <w:sz w:val="28"/>
          <w:szCs w:val="28"/>
        </w:rPr>
        <w:t>86 154,4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</w:t>
      </w:r>
      <w:proofErr w:type="gramStart"/>
      <w:r w:rsidRPr="007E6CAB">
        <w:rPr>
          <w:sz w:val="28"/>
          <w:szCs w:val="28"/>
        </w:rPr>
        <w:t>.р</w:t>
      </w:r>
      <w:proofErr w:type="gramEnd"/>
      <w:r w:rsidRPr="007E6CAB">
        <w:rPr>
          <w:sz w:val="28"/>
          <w:szCs w:val="28"/>
        </w:rPr>
        <w:t>уб</w:t>
      </w:r>
      <w:proofErr w:type="spellEnd"/>
      <w:r w:rsidR="00B13844">
        <w:rPr>
          <w:sz w:val="28"/>
          <w:szCs w:val="28"/>
        </w:rPr>
        <w:t>.</w:t>
      </w:r>
      <w:r w:rsidRPr="007E6CAB">
        <w:rPr>
          <w:sz w:val="28"/>
          <w:szCs w:val="28"/>
        </w:rPr>
        <w:t xml:space="preserve"> и утверждены в размере </w:t>
      </w:r>
      <w:r w:rsidR="008B270A">
        <w:rPr>
          <w:sz w:val="28"/>
          <w:szCs w:val="28"/>
        </w:rPr>
        <w:t>2 969 169,9</w:t>
      </w:r>
      <w:r w:rsidRPr="007E6CAB">
        <w:rPr>
          <w:sz w:val="28"/>
          <w:szCs w:val="28"/>
        </w:rPr>
        <w:t> </w:t>
      </w:r>
      <w:proofErr w:type="spellStart"/>
      <w:r w:rsidRPr="007E6CAB">
        <w:rPr>
          <w:sz w:val="28"/>
          <w:szCs w:val="28"/>
        </w:rPr>
        <w:t>тыс.руб</w:t>
      </w:r>
      <w:proofErr w:type="spellEnd"/>
      <w:r w:rsidR="00B13844">
        <w:rPr>
          <w:sz w:val="28"/>
          <w:szCs w:val="28"/>
        </w:rPr>
        <w:t>.</w:t>
      </w:r>
      <w:r w:rsidRPr="007E6CAB">
        <w:rPr>
          <w:sz w:val="28"/>
          <w:szCs w:val="28"/>
        </w:rPr>
        <w:t xml:space="preserve"> или </w:t>
      </w:r>
      <w:r w:rsidR="00B13844">
        <w:rPr>
          <w:sz w:val="28"/>
          <w:szCs w:val="28"/>
        </w:rPr>
        <w:t>78,1</w:t>
      </w:r>
      <w:r w:rsidRPr="007E6CAB">
        <w:rPr>
          <w:sz w:val="28"/>
          <w:szCs w:val="28"/>
        </w:rPr>
        <w:t xml:space="preserve"> процента</w:t>
      </w:r>
      <w:r w:rsidR="00053FC4">
        <w:rPr>
          <w:sz w:val="28"/>
          <w:szCs w:val="28"/>
        </w:rPr>
        <w:t xml:space="preserve"> </w:t>
      </w:r>
      <w:r w:rsidR="00053FC4" w:rsidRPr="007E6CAB">
        <w:rPr>
          <w:sz w:val="28"/>
          <w:szCs w:val="28"/>
        </w:rPr>
        <w:t>от расходной части бюджета</w:t>
      </w:r>
      <w:r w:rsidRPr="007E6CAB">
        <w:rPr>
          <w:sz w:val="28"/>
          <w:szCs w:val="28"/>
        </w:rPr>
        <w:t>.</w:t>
      </w:r>
    </w:p>
    <w:p w:rsidR="007E6CAB" w:rsidRPr="007E6CAB" w:rsidRDefault="00B10A38" w:rsidP="007E6CA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CAB" w:rsidRPr="007E6CAB">
        <w:rPr>
          <w:sz w:val="28"/>
          <w:szCs w:val="28"/>
        </w:rPr>
        <w:t xml:space="preserve">огласно проекту отчета об исполнении бюджета </w:t>
      </w:r>
      <w:r w:rsidR="00B13844">
        <w:rPr>
          <w:sz w:val="28"/>
          <w:szCs w:val="28"/>
        </w:rPr>
        <w:t>Альметьевского муниципального района</w:t>
      </w:r>
      <w:r w:rsidR="007E6CAB" w:rsidRPr="007E6CAB">
        <w:rPr>
          <w:sz w:val="28"/>
          <w:szCs w:val="28"/>
        </w:rPr>
        <w:t xml:space="preserve"> за 2016 год фактические расходы на социальную сферу </w:t>
      </w:r>
      <w:r w:rsidR="007E6CAB" w:rsidRPr="007E6CAB">
        <w:rPr>
          <w:sz w:val="28"/>
          <w:szCs w:val="28"/>
        </w:rPr>
        <w:lastRenderedPageBreak/>
        <w:t xml:space="preserve">меньше на </w:t>
      </w:r>
      <w:r w:rsidR="00B13844">
        <w:rPr>
          <w:sz w:val="28"/>
          <w:szCs w:val="28"/>
        </w:rPr>
        <w:t xml:space="preserve">85 762,7 </w:t>
      </w:r>
      <w:proofErr w:type="spellStart"/>
      <w:r w:rsidR="00B13844">
        <w:rPr>
          <w:sz w:val="28"/>
          <w:szCs w:val="28"/>
        </w:rPr>
        <w:t>тыс</w:t>
      </w:r>
      <w:proofErr w:type="gramStart"/>
      <w:r w:rsidR="00B13844">
        <w:rPr>
          <w:sz w:val="28"/>
          <w:szCs w:val="28"/>
        </w:rPr>
        <w:t>.р</w:t>
      </w:r>
      <w:proofErr w:type="gramEnd"/>
      <w:r w:rsidR="00B13844">
        <w:rPr>
          <w:sz w:val="28"/>
          <w:szCs w:val="28"/>
        </w:rPr>
        <w:t>уб</w:t>
      </w:r>
      <w:proofErr w:type="spellEnd"/>
      <w:r w:rsidR="00B13844">
        <w:rPr>
          <w:sz w:val="28"/>
          <w:szCs w:val="28"/>
        </w:rPr>
        <w:t>.</w:t>
      </w:r>
      <w:r w:rsidR="007E6CAB" w:rsidRPr="007E6CAB">
        <w:rPr>
          <w:sz w:val="28"/>
          <w:szCs w:val="28"/>
        </w:rPr>
        <w:t xml:space="preserve">  по сравнению с последней редакцией бюджета на 2016 год и составили </w:t>
      </w:r>
      <w:r w:rsidR="00B13844">
        <w:rPr>
          <w:sz w:val="28"/>
          <w:szCs w:val="28"/>
        </w:rPr>
        <w:t>2 883 406,7</w:t>
      </w:r>
      <w:r w:rsidR="007E6CAB" w:rsidRPr="007E6CAB">
        <w:rPr>
          <w:sz w:val="28"/>
          <w:szCs w:val="28"/>
        </w:rPr>
        <w:t> </w:t>
      </w:r>
      <w:proofErr w:type="spellStart"/>
      <w:r w:rsidR="007E6CAB" w:rsidRPr="007E6CAB">
        <w:rPr>
          <w:sz w:val="28"/>
          <w:szCs w:val="28"/>
        </w:rPr>
        <w:t>тыс.руб</w:t>
      </w:r>
      <w:proofErr w:type="spellEnd"/>
      <w:r w:rsidR="00B13844">
        <w:rPr>
          <w:sz w:val="28"/>
          <w:szCs w:val="28"/>
        </w:rPr>
        <w:t>.</w:t>
      </w:r>
    </w:p>
    <w:p w:rsidR="00F85B4D" w:rsidRDefault="00F85B4D" w:rsidP="00F85B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844">
        <w:rPr>
          <w:sz w:val="28"/>
          <w:szCs w:val="28"/>
        </w:rPr>
        <w:t xml:space="preserve">       </w:t>
      </w:r>
      <w:r w:rsidRPr="00A25A65">
        <w:rPr>
          <w:sz w:val="28"/>
          <w:szCs w:val="28"/>
        </w:rPr>
        <w:t xml:space="preserve">По разделу «Жилищно-коммунальное хозяйство» - удельный вес в расходах бюджета составил  </w:t>
      </w:r>
      <w:r>
        <w:rPr>
          <w:sz w:val="28"/>
          <w:szCs w:val="28"/>
        </w:rPr>
        <w:t>5,8%</w:t>
      </w:r>
      <w:r w:rsidRPr="00A25A65">
        <w:rPr>
          <w:sz w:val="28"/>
          <w:szCs w:val="28"/>
        </w:rPr>
        <w:t>. Расходы   на жилищно-коммунальное хозяйство за 20</w:t>
      </w:r>
      <w:r>
        <w:rPr>
          <w:sz w:val="28"/>
          <w:szCs w:val="28"/>
        </w:rPr>
        <w:t>16</w:t>
      </w:r>
      <w:r w:rsidRPr="00A25A65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210 221,9</w:t>
      </w:r>
      <w:r w:rsidRPr="00A25A65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25A6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25A65">
        <w:rPr>
          <w:sz w:val="28"/>
          <w:szCs w:val="28"/>
        </w:rPr>
        <w:t>,  в том числе</w:t>
      </w:r>
      <w:r>
        <w:rPr>
          <w:sz w:val="28"/>
          <w:szCs w:val="28"/>
        </w:rPr>
        <w:t>:</w:t>
      </w:r>
      <w:r w:rsidRPr="00A25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мероприятий по </w:t>
      </w:r>
      <w:r w:rsidRPr="00EC12A3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EC12A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EC12A3">
        <w:rPr>
          <w:sz w:val="28"/>
          <w:szCs w:val="28"/>
        </w:rPr>
        <w:t xml:space="preserve"> жилого фонда</w:t>
      </w:r>
      <w:r>
        <w:rPr>
          <w:sz w:val="28"/>
          <w:szCs w:val="28"/>
        </w:rPr>
        <w:t xml:space="preserve"> и переселению граждан из аварийного жилищного фонда</w:t>
      </w:r>
      <w:r w:rsidRPr="00EC12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136 125,3 </w:t>
      </w:r>
      <w:proofErr w:type="spellStart"/>
      <w:r w:rsidRPr="00EC12A3">
        <w:rPr>
          <w:sz w:val="28"/>
          <w:szCs w:val="28"/>
        </w:rPr>
        <w:t>тыс</w:t>
      </w:r>
      <w:proofErr w:type="gramStart"/>
      <w:r w:rsidRPr="00EC12A3">
        <w:rPr>
          <w:sz w:val="28"/>
          <w:szCs w:val="28"/>
        </w:rPr>
        <w:t>.р</w:t>
      </w:r>
      <w:proofErr w:type="gramEnd"/>
      <w:r w:rsidRPr="00EC12A3"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>
        <w:rPr>
          <w:sz w:val="28"/>
          <w:szCs w:val="28"/>
        </w:rPr>
        <w:t xml:space="preserve">, на обеспечение мероприятий по благоустройству – 66 484,4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85B4D" w:rsidRDefault="00F85B4D" w:rsidP="00F85B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5A65">
        <w:rPr>
          <w:sz w:val="28"/>
          <w:szCs w:val="28"/>
        </w:rPr>
        <w:t>В процессе исполнения бюджета в первоочередном порядке денежные средства  выделялись на заработную плату, оплату коммунальных услуг, питание, медикаменты и социальные выплаты.</w:t>
      </w:r>
    </w:p>
    <w:p w:rsidR="00997855" w:rsidRPr="005E29C8" w:rsidRDefault="00700662" w:rsidP="000B041B">
      <w:pPr>
        <w:spacing w:line="276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E29C8">
        <w:rPr>
          <w:sz w:val="28"/>
          <w:szCs w:val="28"/>
        </w:rPr>
        <w:t>Структура  расходов бюджета  Альметьевского  муниципального района   за 201</w:t>
      </w:r>
      <w:r w:rsidR="00F4478A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 год  представлена на </w:t>
      </w:r>
      <w:r w:rsidR="00937BBD" w:rsidRPr="005E29C8">
        <w:rPr>
          <w:sz w:val="28"/>
          <w:szCs w:val="28"/>
        </w:rPr>
        <w:t>д</w:t>
      </w:r>
      <w:r w:rsidRPr="005E29C8">
        <w:rPr>
          <w:sz w:val="28"/>
          <w:szCs w:val="28"/>
        </w:rPr>
        <w:t xml:space="preserve">иаграмме </w:t>
      </w:r>
      <w:r w:rsidR="003F2EB2" w:rsidRPr="005E29C8">
        <w:rPr>
          <w:sz w:val="28"/>
          <w:szCs w:val="28"/>
        </w:rPr>
        <w:t>6</w:t>
      </w:r>
      <w:r w:rsidRPr="005E29C8">
        <w:rPr>
          <w:sz w:val="28"/>
          <w:szCs w:val="28"/>
        </w:rPr>
        <w:t xml:space="preserve">.  </w:t>
      </w:r>
    </w:p>
    <w:p w:rsidR="00700662" w:rsidRDefault="00700662" w:rsidP="00700662">
      <w:pPr>
        <w:rPr>
          <w:sz w:val="28"/>
          <w:szCs w:val="28"/>
        </w:rPr>
      </w:pPr>
      <w:r>
        <w:t xml:space="preserve">            </w:t>
      </w:r>
      <w:r w:rsidR="00A7297A">
        <w:t xml:space="preserve">                                                                                                                   </w:t>
      </w:r>
      <w:r w:rsidRPr="00700662">
        <w:rPr>
          <w:sz w:val="28"/>
          <w:szCs w:val="28"/>
        </w:rPr>
        <w:t xml:space="preserve">Диаграмма </w:t>
      </w:r>
      <w:r w:rsidR="003F2EB2">
        <w:rPr>
          <w:sz w:val="28"/>
          <w:szCs w:val="28"/>
        </w:rPr>
        <w:t>6</w:t>
      </w:r>
    </w:p>
    <w:p w:rsidR="003F2EB2" w:rsidRDefault="003F2EB2" w:rsidP="003F2EB2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>Структура  расходов бюджета  Альметьевского  муниципального района   за 201</w:t>
      </w:r>
      <w:r w:rsidR="00F4478A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860416" w:rsidRDefault="00860416" w:rsidP="003F2EB2">
      <w:pPr>
        <w:jc w:val="center"/>
      </w:pPr>
    </w:p>
    <w:p w:rsidR="00F85B4D" w:rsidRDefault="00700662" w:rsidP="00B10A38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009195" wp14:editId="77DDF950">
            <wp:extent cx="6309360" cy="4655820"/>
            <wp:effectExtent l="0" t="0" r="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  </w:t>
      </w:r>
      <w:r w:rsidR="00860416">
        <w:t xml:space="preserve">  </w:t>
      </w:r>
      <w:r w:rsidR="00B13844">
        <w:t xml:space="preserve">  </w:t>
      </w:r>
      <w:r w:rsidR="00B13844" w:rsidRPr="00B13844">
        <w:rPr>
          <w:sz w:val="28"/>
          <w:szCs w:val="28"/>
        </w:rPr>
        <w:t>Со</w:t>
      </w:r>
      <w:r w:rsidR="00F85B4D" w:rsidRPr="00B13844">
        <w:rPr>
          <w:sz w:val="28"/>
          <w:szCs w:val="28"/>
        </w:rPr>
        <w:t>г</w:t>
      </w:r>
      <w:r w:rsidR="00F85B4D">
        <w:rPr>
          <w:sz w:val="28"/>
          <w:szCs w:val="28"/>
        </w:rPr>
        <w:t xml:space="preserve">ласно Сведениям об исполнении бюджета, неисполнение расходов допущено по предоставленным из бюджета РТ субсидиям, субвенциям </w:t>
      </w:r>
      <w:r w:rsidR="00D86C92">
        <w:rPr>
          <w:sz w:val="28"/>
          <w:szCs w:val="28"/>
        </w:rPr>
        <w:t xml:space="preserve">в общей сумме 25 286,9  </w:t>
      </w:r>
      <w:proofErr w:type="spellStart"/>
      <w:r w:rsidR="00D86C92">
        <w:rPr>
          <w:sz w:val="28"/>
          <w:szCs w:val="28"/>
        </w:rPr>
        <w:t>тыс</w:t>
      </w:r>
      <w:proofErr w:type="gramStart"/>
      <w:r w:rsidR="00D86C92">
        <w:rPr>
          <w:sz w:val="28"/>
          <w:szCs w:val="28"/>
        </w:rPr>
        <w:t>.р</w:t>
      </w:r>
      <w:proofErr w:type="gramEnd"/>
      <w:r w:rsidR="00D86C92">
        <w:rPr>
          <w:sz w:val="28"/>
          <w:szCs w:val="28"/>
        </w:rPr>
        <w:t>уб</w:t>
      </w:r>
      <w:proofErr w:type="spellEnd"/>
      <w:r w:rsidR="00D86C92">
        <w:rPr>
          <w:sz w:val="28"/>
          <w:szCs w:val="28"/>
        </w:rPr>
        <w:t xml:space="preserve">., в том числе </w:t>
      </w:r>
      <w:r w:rsidR="00F85B4D">
        <w:rPr>
          <w:sz w:val="28"/>
          <w:szCs w:val="28"/>
        </w:rPr>
        <w:t xml:space="preserve">по следующим разделам: </w:t>
      </w:r>
    </w:p>
    <w:p w:rsidR="00F85B4D" w:rsidRDefault="00F85B4D" w:rsidP="00B10A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B4D">
        <w:rPr>
          <w:sz w:val="28"/>
          <w:szCs w:val="28"/>
          <w:u w:val="single"/>
        </w:rPr>
        <w:t>по разделу 0100 «Общегосударственные вопросы»</w:t>
      </w:r>
      <w:r>
        <w:rPr>
          <w:sz w:val="28"/>
          <w:szCs w:val="28"/>
        </w:rPr>
        <w:t xml:space="preserve"> не использованы: </w:t>
      </w:r>
    </w:p>
    <w:p w:rsidR="005F13C9" w:rsidRDefault="00F85B4D" w:rsidP="00B10A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субсидии из бюджета РТ</w:t>
      </w:r>
      <w:r w:rsidR="00D86C92">
        <w:rPr>
          <w:sz w:val="28"/>
          <w:szCs w:val="28"/>
        </w:rPr>
        <w:t xml:space="preserve"> в общей сумме </w:t>
      </w:r>
      <w:r w:rsidR="005F13C9">
        <w:rPr>
          <w:sz w:val="28"/>
          <w:szCs w:val="28"/>
        </w:rPr>
        <w:t xml:space="preserve">464,2 </w:t>
      </w:r>
      <w:proofErr w:type="spellStart"/>
      <w:r w:rsidR="005F13C9">
        <w:rPr>
          <w:sz w:val="28"/>
          <w:szCs w:val="28"/>
        </w:rPr>
        <w:t>тыс</w:t>
      </w:r>
      <w:proofErr w:type="gramStart"/>
      <w:r w:rsidR="005F13C9">
        <w:rPr>
          <w:sz w:val="28"/>
          <w:szCs w:val="28"/>
        </w:rPr>
        <w:t>.р</w:t>
      </w:r>
      <w:proofErr w:type="gramEnd"/>
      <w:r w:rsidR="005F13C9">
        <w:rPr>
          <w:sz w:val="28"/>
          <w:szCs w:val="28"/>
        </w:rPr>
        <w:t>уб</w:t>
      </w:r>
      <w:proofErr w:type="spellEnd"/>
      <w:r w:rsidR="005F13C9">
        <w:rPr>
          <w:sz w:val="28"/>
          <w:szCs w:val="28"/>
        </w:rPr>
        <w:t>., в том числе</w:t>
      </w:r>
      <w:r>
        <w:rPr>
          <w:sz w:val="28"/>
          <w:szCs w:val="28"/>
        </w:rPr>
        <w:t xml:space="preserve">: </w:t>
      </w:r>
    </w:p>
    <w:p w:rsidR="005F13C9" w:rsidRDefault="005F13C9" w:rsidP="00B10A3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на премирование глав городских и сельских поселений в сумме 279,3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>.;</w:t>
      </w:r>
    </w:p>
    <w:p w:rsidR="005F13C9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 на мероприятия, направленные на развитие системы территориального общественного самоуправления РТ в сумме 135,4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 xml:space="preserve">.; </w:t>
      </w:r>
    </w:p>
    <w:p w:rsidR="00F85B4D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грант по итогам конкурса «Лучшее ТОС года РТ» в сумме 49,5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 xml:space="preserve">.; </w:t>
      </w:r>
    </w:p>
    <w:p w:rsidR="005F13C9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из бюджета РТ на реализацию государственных полномочий</w:t>
      </w:r>
      <w:r w:rsidR="005F13C9">
        <w:rPr>
          <w:sz w:val="28"/>
          <w:szCs w:val="28"/>
        </w:rPr>
        <w:t xml:space="preserve"> в общей сумме 234,3 </w:t>
      </w:r>
      <w:proofErr w:type="spellStart"/>
      <w:r w:rsidR="005F13C9">
        <w:rPr>
          <w:sz w:val="28"/>
          <w:szCs w:val="28"/>
        </w:rPr>
        <w:t>тыс</w:t>
      </w:r>
      <w:proofErr w:type="gramStart"/>
      <w:r w:rsidR="005F13C9">
        <w:rPr>
          <w:sz w:val="28"/>
          <w:szCs w:val="28"/>
        </w:rPr>
        <w:t>.р</w:t>
      </w:r>
      <w:proofErr w:type="gramEnd"/>
      <w:r w:rsidR="005F13C9">
        <w:rPr>
          <w:sz w:val="28"/>
          <w:szCs w:val="28"/>
        </w:rPr>
        <w:t>уб</w:t>
      </w:r>
      <w:proofErr w:type="spellEnd"/>
      <w:r w:rsidR="005F13C9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:rsidR="005F13C9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B4D">
        <w:rPr>
          <w:sz w:val="28"/>
          <w:szCs w:val="28"/>
        </w:rPr>
        <w:t xml:space="preserve">в области опеки и попечительства в сумме 40,2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>.,</w:t>
      </w:r>
    </w:p>
    <w:p w:rsidR="005F13C9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в области архивного дела в сумме 71,9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 xml:space="preserve">.; </w:t>
      </w:r>
    </w:p>
    <w:p w:rsidR="00F85B4D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по образованию и организации деятельности комиссий по делам несовершеннолетних и защите их прав в сумме 122,2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>.;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 w:rsidRPr="005F13C9">
        <w:rPr>
          <w:sz w:val="28"/>
          <w:szCs w:val="28"/>
          <w:u w:val="single"/>
        </w:rPr>
        <w:t>- по разделу 0400 «Национальная экономика»</w:t>
      </w:r>
      <w:r>
        <w:rPr>
          <w:sz w:val="28"/>
          <w:szCs w:val="28"/>
        </w:rPr>
        <w:t xml:space="preserve"> не использованы субвенции из бюджета РТ на содержание биотермических ям,  сибиреязвенных скотомогильников и на отлов, содержание и регулирование численности безнадзорных животных в общей  сумме 1261,4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5F13C9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3C9">
        <w:rPr>
          <w:sz w:val="28"/>
          <w:szCs w:val="28"/>
          <w:u w:val="single"/>
        </w:rPr>
        <w:t>по разделу 0500 «Жилищно-коммунальное хозяйство»</w:t>
      </w:r>
      <w:r>
        <w:rPr>
          <w:sz w:val="28"/>
          <w:szCs w:val="28"/>
        </w:rPr>
        <w:t xml:space="preserve"> не использованы субсидии из бюджета РТ</w:t>
      </w:r>
      <w:r w:rsidR="005F13C9">
        <w:rPr>
          <w:sz w:val="28"/>
          <w:szCs w:val="28"/>
        </w:rPr>
        <w:t xml:space="preserve"> в общей сумме 1 505,1 </w:t>
      </w:r>
      <w:proofErr w:type="spellStart"/>
      <w:r w:rsidR="005F13C9">
        <w:rPr>
          <w:sz w:val="28"/>
          <w:szCs w:val="28"/>
        </w:rPr>
        <w:t>тыс</w:t>
      </w:r>
      <w:proofErr w:type="gramStart"/>
      <w:r w:rsidR="005F13C9">
        <w:rPr>
          <w:sz w:val="28"/>
          <w:szCs w:val="28"/>
        </w:rPr>
        <w:t>.р</w:t>
      </w:r>
      <w:proofErr w:type="gramEnd"/>
      <w:r w:rsidR="005F13C9">
        <w:rPr>
          <w:sz w:val="28"/>
          <w:szCs w:val="28"/>
        </w:rPr>
        <w:t>уб</w:t>
      </w:r>
      <w:proofErr w:type="spellEnd"/>
      <w:r w:rsidR="005F13C9">
        <w:rPr>
          <w:sz w:val="28"/>
          <w:szCs w:val="28"/>
        </w:rPr>
        <w:t>., в том числе:</w:t>
      </w:r>
    </w:p>
    <w:p w:rsidR="005F13C9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B4D">
        <w:rPr>
          <w:sz w:val="28"/>
          <w:szCs w:val="28"/>
        </w:rPr>
        <w:t xml:space="preserve"> на премирование победителей республиканского конкурса на звание «Самый благоустроенный населенный пункт Республики Татарстан» в сумме 752,4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 xml:space="preserve">., </w:t>
      </w:r>
    </w:p>
    <w:p w:rsidR="005F13C9" w:rsidRDefault="005F13C9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B4D">
        <w:rPr>
          <w:sz w:val="28"/>
          <w:szCs w:val="28"/>
        </w:rPr>
        <w:t xml:space="preserve">на обустройство и ремонт социально-значимых объектов в сумме 752,7 </w:t>
      </w:r>
      <w:proofErr w:type="spellStart"/>
      <w:r w:rsidR="00F85B4D">
        <w:rPr>
          <w:sz w:val="28"/>
          <w:szCs w:val="28"/>
        </w:rPr>
        <w:t>тыс</w:t>
      </w:r>
      <w:proofErr w:type="gramStart"/>
      <w:r w:rsidR="00F85B4D">
        <w:rPr>
          <w:sz w:val="28"/>
          <w:szCs w:val="28"/>
        </w:rPr>
        <w:t>.р</w:t>
      </w:r>
      <w:proofErr w:type="gramEnd"/>
      <w:r w:rsidR="00F85B4D">
        <w:rPr>
          <w:sz w:val="28"/>
          <w:szCs w:val="28"/>
        </w:rPr>
        <w:t>уб</w:t>
      </w:r>
      <w:proofErr w:type="spellEnd"/>
      <w:r w:rsidR="00F85B4D">
        <w:rPr>
          <w:sz w:val="28"/>
          <w:szCs w:val="28"/>
        </w:rPr>
        <w:t xml:space="preserve">.; 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на </w:t>
      </w:r>
      <w:r w:rsidRPr="00F4478A">
        <w:rPr>
          <w:color w:val="FF0000"/>
          <w:sz w:val="28"/>
          <w:szCs w:val="28"/>
        </w:rPr>
        <w:t xml:space="preserve"> </w:t>
      </w:r>
      <w:r w:rsidRPr="0088083E">
        <w:rPr>
          <w:sz w:val="28"/>
          <w:szCs w:val="28"/>
        </w:rPr>
        <w:t xml:space="preserve">осуществление государственного контроля и надзора в области долевого строительства многоквартирных домов и иных объектов недвижимости в сумме </w:t>
      </w:r>
      <w:r>
        <w:rPr>
          <w:sz w:val="28"/>
          <w:szCs w:val="28"/>
        </w:rPr>
        <w:t>16,1</w:t>
      </w:r>
      <w:r w:rsidRPr="0088083E">
        <w:rPr>
          <w:sz w:val="28"/>
          <w:szCs w:val="28"/>
        </w:rPr>
        <w:t xml:space="preserve">  </w:t>
      </w:r>
      <w:proofErr w:type="spellStart"/>
      <w:r w:rsidRPr="0088083E">
        <w:rPr>
          <w:sz w:val="28"/>
          <w:szCs w:val="28"/>
        </w:rPr>
        <w:t>тыс</w:t>
      </w:r>
      <w:proofErr w:type="gramStart"/>
      <w:r w:rsidRPr="0088083E">
        <w:rPr>
          <w:sz w:val="28"/>
          <w:szCs w:val="28"/>
        </w:rPr>
        <w:t>.р</w:t>
      </w:r>
      <w:proofErr w:type="gramEnd"/>
      <w:r w:rsidRPr="0088083E">
        <w:rPr>
          <w:sz w:val="28"/>
          <w:szCs w:val="28"/>
        </w:rPr>
        <w:t>уб</w:t>
      </w:r>
      <w:proofErr w:type="spellEnd"/>
      <w:r w:rsidRPr="0088083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F13C9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- </w:t>
      </w:r>
      <w:r w:rsidRPr="005F13C9">
        <w:rPr>
          <w:sz w:val="28"/>
          <w:szCs w:val="28"/>
          <w:u w:val="single"/>
        </w:rPr>
        <w:t>по разделу 0700 «Образование»</w:t>
      </w:r>
      <w:r w:rsidRPr="00053FC4">
        <w:rPr>
          <w:sz w:val="28"/>
          <w:szCs w:val="28"/>
        </w:rPr>
        <w:t xml:space="preserve"> не использованы</w:t>
      </w:r>
      <w:r>
        <w:rPr>
          <w:sz w:val="28"/>
          <w:szCs w:val="28"/>
        </w:rPr>
        <w:t xml:space="preserve"> субсидии из бюджета РТ</w:t>
      </w:r>
      <w:r w:rsidR="005F13C9">
        <w:rPr>
          <w:sz w:val="28"/>
          <w:szCs w:val="28"/>
        </w:rPr>
        <w:t xml:space="preserve"> в общей сумме 3 481,0 </w:t>
      </w:r>
      <w:proofErr w:type="spellStart"/>
      <w:r w:rsidR="005F13C9">
        <w:rPr>
          <w:sz w:val="28"/>
          <w:szCs w:val="28"/>
        </w:rPr>
        <w:t>тыс</w:t>
      </w:r>
      <w:proofErr w:type="gramStart"/>
      <w:r w:rsidR="005F13C9">
        <w:rPr>
          <w:sz w:val="28"/>
          <w:szCs w:val="28"/>
        </w:rPr>
        <w:t>.р</w:t>
      </w:r>
      <w:proofErr w:type="gramEnd"/>
      <w:r w:rsidR="005F13C9">
        <w:rPr>
          <w:sz w:val="28"/>
          <w:szCs w:val="28"/>
        </w:rPr>
        <w:t>уб</w:t>
      </w:r>
      <w:proofErr w:type="spellEnd"/>
      <w:r w:rsidR="005F13C9">
        <w:rPr>
          <w:sz w:val="28"/>
          <w:szCs w:val="28"/>
        </w:rPr>
        <w:t>., в том числе</w:t>
      </w:r>
      <w:r>
        <w:rPr>
          <w:sz w:val="28"/>
          <w:szCs w:val="28"/>
        </w:rPr>
        <w:t>: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мероприятия по организации отдыха, оздоровления, занятости детей и молодежи в сумме 2 459,9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13B">
        <w:rPr>
          <w:sz w:val="28"/>
          <w:szCs w:val="28"/>
        </w:rPr>
        <w:t xml:space="preserve">на повышение заработной платы молодых специалистов в области образования в сумме </w:t>
      </w:r>
      <w:r>
        <w:rPr>
          <w:sz w:val="28"/>
          <w:szCs w:val="28"/>
        </w:rPr>
        <w:t>631,2</w:t>
      </w:r>
      <w:r w:rsidRPr="0090613B">
        <w:rPr>
          <w:sz w:val="28"/>
          <w:szCs w:val="28"/>
        </w:rPr>
        <w:t xml:space="preserve"> </w:t>
      </w:r>
      <w:proofErr w:type="spellStart"/>
      <w:r w:rsidRPr="0090613B">
        <w:rPr>
          <w:sz w:val="28"/>
          <w:szCs w:val="28"/>
        </w:rPr>
        <w:t>тыс</w:t>
      </w:r>
      <w:proofErr w:type="gramStart"/>
      <w:r w:rsidRPr="0090613B">
        <w:rPr>
          <w:sz w:val="28"/>
          <w:szCs w:val="28"/>
        </w:rPr>
        <w:t>.р</w:t>
      </w:r>
      <w:proofErr w:type="gramEnd"/>
      <w:r w:rsidRPr="0090613B">
        <w:rPr>
          <w:sz w:val="28"/>
          <w:szCs w:val="28"/>
        </w:rPr>
        <w:t>уб</w:t>
      </w:r>
      <w:proofErr w:type="spellEnd"/>
      <w:r w:rsidRPr="0090613B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охране общественного порядка на территории оздоровительных лагерей в сумме 135,2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гранты «Наш новый учитель», «</w:t>
      </w:r>
      <w:r w:rsidRPr="00A76DEF">
        <w:rPr>
          <w:sz w:val="28"/>
          <w:szCs w:val="28"/>
        </w:rPr>
        <w:t>Учитель-эксперт»</w:t>
      </w:r>
      <w:r>
        <w:rPr>
          <w:sz w:val="28"/>
          <w:szCs w:val="28"/>
        </w:rPr>
        <w:t xml:space="preserve">, «Учитель-наставник» в сумме 254,7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</w:r>
      <w:r>
        <w:rPr>
          <w:sz w:val="28"/>
          <w:szCs w:val="28"/>
        </w:rPr>
        <w:lastRenderedPageBreak/>
        <w:t xml:space="preserve">детей в муниципальных общеобразовательных организациях в сумме 1 433,6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реализацию государственных полномочий в области образования в сумме 254,8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5B4D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3C9">
        <w:rPr>
          <w:sz w:val="28"/>
          <w:szCs w:val="28"/>
          <w:u w:val="single"/>
        </w:rPr>
        <w:t>по разделу 0800 «Культура, кинематография»</w:t>
      </w:r>
      <w:r>
        <w:rPr>
          <w:sz w:val="28"/>
          <w:szCs w:val="28"/>
        </w:rPr>
        <w:t xml:space="preserve"> не использованы субсидии их бюджета РТ </w:t>
      </w:r>
      <w:r w:rsidRPr="0088083E">
        <w:rPr>
          <w:sz w:val="28"/>
          <w:szCs w:val="28"/>
        </w:rPr>
        <w:t xml:space="preserve"> на поддержку лучших работников муниципальных учреждений культуры в сумме 660,0 </w:t>
      </w:r>
      <w:proofErr w:type="spellStart"/>
      <w:r w:rsidRPr="0088083E">
        <w:rPr>
          <w:sz w:val="28"/>
          <w:szCs w:val="28"/>
        </w:rPr>
        <w:t>тыс</w:t>
      </w:r>
      <w:proofErr w:type="gramStart"/>
      <w:r w:rsidRPr="0088083E">
        <w:rPr>
          <w:sz w:val="28"/>
          <w:szCs w:val="28"/>
        </w:rPr>
        <w:t>.р</w:t>
      </w:r>
      <w:proofErr w:type="gramEnd"/>
      <w:r w:rsidRPr="0088083E">
        <w:rPr>
          <w:sz w:val="28"/>
          <w:szCs w:val="28"/>
        </w:rPr>
        <w:t>уб</w:t>
      </w:r>
      <w:proofErr w:type="spellEnd"/>
      <w:r w:rsidRPr="0088083E">
        <w:rPr>
          <w:sz w:val="28"/>
          <w:szCs w:val="28"/>
        </w:rPr>
        <w:t>.;</w:t>
      </w:r>
    </w:p>
    <w:p w:rsidR="00F85B4D" w:rsidRPr="0088083E" w:rsidRDefault="00F85B4D" w:rsidP="00F85B4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13C9">
        <w:rPr>
          <w:sz w:val="28"/>
          <w:szCs w:val="28"/>
          <w:u w:val="single"/>
        </w:rPr>
        <w:t xml:space="preserve">по разделу 1400 «Межбюджетные трансферты общего характера бюджетам бюджетной системы Российской Федерации» </w:t>
      </w:r>
      <w:r>
        <w:rPr>
          <w:sz w:val="28"/>
          <w:szCs w:val="28"/>
        </w:rPr>
        <w:t xml:space="preserve">не использованы средства самообложения в сельских поселениях в сумме 11652,7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средства бюджета РТ на уплату налога на имущество в сумме 3 745,7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средства бюджета РТ на премирование лучшего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в 2015 году в сумме 564,7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85B4D" w:rsidRPr="00B10D14" w:rsidRDefault="00B10A38" w:rsidP="009719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5B4D" w:rsidRPr="00B10D14">
        <w:rPr>
          <w:sz w:val="28"/>
          <w:szCs w:val="28"/>
        </w:rPr>
        <w:t xml:space="preserve">По состоянию на 1 января 2017 года остатки средств </w:t>
      </w:r>
      <w:r w:rsidR="003B203A">
        <w:rPr>
          <w:sz w:val="28"/>
          <w:szCs w:val="28"/>
        </w:rPr>
        <w:t xml:space="preserve">бюджета Альметьевского муниципального района </w:t>
      </w:r>
      <w:r w:rsidR="00F85B4D" w:rsidRPr="00B10D14">
        <w:rPr>
          <w:sz w:val="28"/>
          <w:szCs w:val="28"/>
        </w:rPr>
        <w:t xml:space="preserve">составляли в сумме </w:t>
      </w:r>
      <w:r w:rsidR="003B203A">
        <w:rPr>
          <w:sz w:val="28"/>
          <w:szCs w:val="28"/>
        </w:rPr>
        <w:t xml:space="preserve">176 805,7 </w:t>
      </w:r>
      <w:proofErr w:type="spellStart"/>
      <w:r w:rsidR="003B203A">
        <w:rPr>
          <w:sz w:val="28"/>
          <w:szCs w:val="28"/>
        </w:rPr>
        <w:t>тыс</w:t>
      </w:r>
      <w:proofErr w:type="gramStart"/>
      <w:r w:rsidR="003B203A">
        <w:rPr>
          <w:sz w:val="28"/>
          <w:szCs w:val="28"/>
        </w:rPr>
        <w:t>.р</w:t>
      </w:r>
      <w:proofErr w:type="gramEnd"/>
      <w:r w:rsidR="003B203A">
        <w:rPr>
          <w:sz w:val="28"/>
          <w:szCs w:val="28"/>
        </w:rPr>
        <w:t>уб</w:t>
      </w:r>
      <w:proofErr w:type="spellEnd"/>
      <w:r w:rsidR="003B203A">
        <w:rPr>
          <w:sz w:val="28"/>
          <w:szCs w:val="28"/>
        </w:rPr>
        <w:t>.</w:t>
      </w:r>
      <w:r w:rsidR="00F85B4D" w:rsidRPr="00B10D14">
        <w:rPr>
          <w:sz w:val="28"/>
          <w:szCs w:val="28"/>
        </w:rPr>
        <w:t>, из них: целевые средства из бюджета Республики Татарстан (субсидии, субвенции, межбюджетные трансферты) –</w:t>
      </w:r>
      <w:r w:rsidRPr="00B10A38">
        <w:rPr>
          <w:b/>
          <w:bCs/>
          <w:color w:val="000000"/>
        </w:rPr>
        <w:t xml:space="preserve"> </w:t>
      </w:r>
      <w:r w:rsidR="003B203A" w:rsidRPr="003B203A">
        <w:rPr>
          <w:bCs/>
          <w:color w:val="000000"/>
          <w:sz w:val="28"/>
          <w:szCs w:val="28"/>
        </w:rPr>
        <w:t>13 353,4</w:t>
      </w:r>
      <w:r>
        <w:rPr>
          <w:b/>
          <w:bCs/>
          <w:color w:val="000000"/>
        </w:rPr>
        <w:t xml:space="preserve"> </w:t>
      </w:r>
      <w:proofErr w:type="spellStart"/>
      <w:r w:rsidR="00F85B4D" w:rsidRPr="00B10D14">
        <w:rPr>
          <w:sz w:val="28"/>
          <w:szCs w:val="28"/>
        </w:rPr>
        <w:t>тыс.руб</w:t>
      </w:r>
      <w:proofErr w:type="spellEnd"/>
      <w:r w:rsidR="00F85B4D" w:rsidRPr="00B10D14">
        <w:rPr>
          <w:sz w:val="28"/>
          <w:szCs w:val="28"/>
        </w:rPr>
        <w:t>.</w:t>
      </w:r>
      <w:r>
        <w:rPr>
          <w:sz w:val="28"/>
          <w:szCs w:val="28"/>
        </w:rPr>
        <w:t xml:space="preserve">, остатки средств местного бюджета </w:t>
      </w:r>
      <w:r w:rsidR="003B20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203A">
        <w:rPr>
          <w:sz w:val="28"/>
          <w:szCs w:val="28"/>
        </w:rPr>
        <w:t>163 452,3</w:t>
      </w:r>
      <w:r w:rsidRPr="00B10A38">
        <w:rPr>
          <w:bCs/>
          <w:color w:val="000000"/>
          <w:sz w:val="28"/>
          <w:szCs w:val="28"/>
        </w:rPr>
        <w:t xml:space="preserve"> </w:t>
      </w:r>
      <w:proofErr w:type="spellStart"/>
      <w:r w:rsidRPr="00B10A38">
        <w:rPr>
          <w:bCs/>
          <w:color w:val="000000"/>
          <w:sz w:val="28"/>
          <w:szCs w:val="28"/>
        </w:rPr>
        <w:t>тыс.руб</w:t>
      </w:r>
      <w:proofErr w:type="spellEnd"/>
      <w:r w:rsidRPr="00B10A38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 xml:space="preserve"> </w:t>
      </w:r>
      <w:r w:rsidR="00F85B4D" w:rsidRPr="00B10D14">
        <w:rPr>
          <w:sz w:val="28"/>
          <w:szCs w:val="28"/>
        </w:rPr>
        <w:t xml:space="preserve"> Согласно представленным уведомлениям Финансово-бюджетной палатой неиспользованные целевые средства 25-26 января 2016 г. возвращены в бюджет РТ в полном объеме. </w:t>
      </w:r>
    </w:p>
    <w:p w:rsidR="00A24F65" w:rsidRDefault="00A24F65" w:rsidP="00F86247">
      <w:pPr>
        <w:jc w:val="both"/>
        <w:rPr>
          <w:sz w:val="28"/>
          <w:szCs w:val="28"/>
        </w:rPr>
      </w:pPr>
    </w:p>
    <w:p w:rsidR="00A24F65" w:rsidRPr="00A24F65" w:rsidRDefault="00A24F65" w:rsidP="00A24F65">
      <w:pPr>
        <w:jc w:val="center"/>
        <w:rPr>
          <w:b/>
          <w:sz w:val="28"/>
          <w:szCs w:val="28"/>
        </w:rPr>
      </w:pPr>
      <w:r w:rsidRPr="00A24F65">
        <w:rPr>
          <w:b/>
          <w:sz w:val="28"/>
          <w:szCs w:val="28"/>
        </w:rPr>
        <w:t>Ведомственная структура расходов бюджета Альметьевского муниципального района</w:t>
      </w:r>
    </w:p>
    <w:p w:rsidR="00A24F65" w:rsidRPr="00017245" w:rsidRDefault="00A24F65" w:rsidP="00A24F65">
      <w:pPr>
        <w:spacing w:line="312" w:lineRule="auto"/>
        <w:ind w:firstLine="720"/>
        <w:jc w:val="both"/>
        <w:rPr>
          <w:bCs/>
          <w:sz w:val="30"/>
          <w:szCs w:val="30"/>
        </w:rPr>
      </w:pPr>
    </w:p>
    <w:p w:rsidR="00A24F65" w:rsidRPr="00A24F65" w:rsidRDefault="00A24F65" w:rsidP="00A24F65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A24F65">
        <w:rPr>
          <w:bCs/>
          <w:sz w:val="28"/>
          <w:szCs w:val="28"/>
        </w:rPr>
        <w:t xml:space="preserve">Расходы бюджета Альметьевского муниципального района по ведомственной структуре расходов бюджета Альметьевского муниципального района за 2016 год отражены в </w:t>
      </w:r>
      <w:r w:rsidR="00A2787D">
        <w:rPr>
          <w:bCs/>
          <w:sz w:val="28"/>
          <w:szCs w:val="28"/>
        </w:rPr>
        <w:t xml:space="preserve">нижеследующей </w:t>
      </w:r>
      <w:r w:rsidRPr="00A24F65">
        <w:rPr>
          <w:bCs/>
          <w:sz w:val="28"/>
          <w:szCs w:val="28"/>
        </w:rPr>
        <w:t>таблице.</w:t>
      </w:r>
    </w:p>
    <w:p w:rsidR="00A24F65" w:rsidRDefault="00DB0B53" w:rsidP="00A24F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A24F65">
        <w:rPr>
          <w:sz w:val="28"/>
          <w:szCs w:val="28"/>
        </w:rPr>
        <w:t>тыс</w:t>
      </w:r>
      <w:proofErr w:type="gramStart"/>
      <w:r w:rsidR="00A24F65">
        <w:rPr>
          <w:sz w:val="28"/>
          <w:szCs w:val="28"/>
        </w:rPr>
        <w:t>.р</w:t>
      </w:r>
      <w:proofErr w:type="gramEnd"/>
      <w:r w:rsidR="00A24F65">
        <w:rPr>
          <w:sz w:val="28"/>
          <w:szCs w:val="28"/>
        </w:rPr>
        <w:t>уб</w:t>
      </w:r>
      <w:proofErr w:type="spellEnd"/>
      <w:r w:rsidR="00A24F65">
        <w:rPr>
          <w:sz w:val="28"/>
          <w:szCs w:val="28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560"/>
        <w:gridCol w:w="1417"/>
        <w:gridCol w:w="1276"/>
        <w:gridCol w:w="1134"/>
      </w:tblGrid>
      <w:tr w:rsidR="00DB0B53" w:rsidRPr="00DD57A1" w:rsidTr="00A20E98">
        <w:trPr>
          <w:trHeight w:val="957"/>
        </w:trPr>
        <w:tc>
          <w:tcPr>
            <w:tcW w:w="724" w:type="dxa"/>
            <w:vMerge w:val="restart"/>
            <w:shd w:val="clear" w:color="auto" w:fill="auto"/>
          </w:tcPr>
          <w:p w:rsidR="00DB0B53" w:rsidRPr="00CA7FE2" w:rsidRDefault="00DB0B53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B0B53" w:rsidRPr="00CA7FE2" w:rsidRDefault="00DB0B53" w:rsidP="00A24F65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Решение о бюджете № 24 от 10.12.2015 (в ред. Решения № 143</w:t>
            </w:r>
            <w:r w:rsidRPr="00CA7FE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A7FE2">
              <w:rPr>
                <w:b/>
                <w:sz w:val="20"/>
                <w:szCs w:val="20"/>
              </w:rPr>
              <w:t>от 28.12.2016)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Кассовое исполнение по Отчету за 2016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Отклонение</w:t>
            </w:r>
          </w:p>
        </w:tc>
      </w:tr>
      <w:tr w:rsidR="00DB0B53" w:rsidRPr="00DD57A1" w:rsidTr="00A20E98">
        <w:trPr>
          <w:trHeight w:val="623"/>
        </w:trPr>
        <w:tc>
          <w:tcPr>
            <w:tcW w:w="724" w:type="dxa"/>
            <w:vMerge/>
            <w:shd w:val="clear" w:color="auto" w:fill="auto"/>
          </w:tcPr>
          <w:p w:rsidR="00DB0B53" w:rsidRPr="00CA7FE2" w:rsidRDefault="00DB0B53" w:rsidP="00C657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B0B53" w:rsidRPr="00CA7FE2" w:rsidRDefault="00DB0B53" w:rsidP="00A24F6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proofErr w:type="spellStart"/>
            <w:r w:rsidRPr="00CA7FE2">
              <w:rPr>
                <w:b/>
                <w:sz w:val="20"/>
                <w:szCs w:val="20"/>
              </w:rPr>
              <w:t>Абсолютн</w:t>
            </w:r>
            <w:proofErr w:type="spellEnd"/>
            <w:r w:rsidRPr="00CA7FE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A7FE2">
              <w:rPr>
                <w:b/>
                <w:sz w:val="20"/>
                <w:szCs w:val="20"/>
              </w:rPr>
              <w:t>тыс</w:t>
            </w:r>
            <w:proofErr w:type="gramStart"/>
            <w:r w:rsidRPr="00CA7FE2">
              <w:rPr>
                <w:b/>
                <w:sz w:val="20"/>
                <w:szCs w:val="20"/>
              </w:rPr>
              <w:t>.р</w:t>
            </w:r>
            <w:proofErr w:type="gramEnd"/>
            <w:r w:rsidRPr="00CA7FE2">
              <w:rPr>
                <w:b/>
                <w:sz w:val="20"/>
                <w:szCs w:val="20"/>
              </w:rPr>
              <w:t>уб</w:t>
            </w:r>
            <w:proofErr w:type="spellEnd"/>
            <w:r w:rsidRPr="00CA7FE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 xml:space="preserve">Относит. </w:t>
            </w:r>
          </w:p>
          <w:p w:rsidR="00DB0B53" w:rsidRPr="00CA7FE2" w:rsidRDefault="00DB0B53" w:rsidP="00C657ED">
            <w:pPr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(%)</w:t>
            </w:r>
          </w:p>
        </w:tc>
      </w:tr>
      <w:tr w:rsidR="00A24F65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24F65" w:rsidRPr="00CA7FE2" w:rsidRDefault="00A24F65" w:rsidP="00C657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A7FE2">
              <w:rPr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4F65" w:rsidRPr="00B245CD" w:rsidRDefault="00A24F65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Совет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24F65" w:rsidRPr="00B245CD" w:rsidRDefault="00DB0B53" w:rsidP="00C657ED">
            <w:pPr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28 744,6</w:t>
            </w:r>
          </w:p>
        </w:tc>
        <w:tc>
          <w:tcPr>
            <w:tcW w:w="1417" w:type="dxa"/>
            <w:shd w:val="clear" w:color="auto" w:fill="auto"/>
            <w:noWrap/>
          </w:tcPr>
          <w:p w:rsidR="00A24F65" w:rsidRPr="00B245CD" w:rsidRDefault="00A24F65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27 896,5</w:t>
            </w:r>
          </w:p>
        </w:tc>
        <w:tc>
          <w:tcPr>
            <w:tcW w:w="1276" w:type="dxa"/>
            <w:shd w:val="clear" w:color="auto" w:fill="auto"/>
            <w:noWrap/>
          </w:tcPr>
          <w:p w:rsidR="00A24F65" w:rsidRPr="00B245CD" w:rsidRDefault="00A57D21" w:rsidP="00C657ED">
            <w:pPr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-848,1</w:t>
            </w:r>
          </w:p>
        </w:tc>
        <w:tc>
          <w:tcPr>
            <w:tcW w:w="1134" w:type="dxa"/>
            <w:shd w:val="clear" w:color="auto" w:fill="auto"/>
            <w:noWrap/>
          </w:tcPr>
          <w:p w:rsidR="00A24F65" w:rsidRPr="00B245CD" w:rsidRDefault="00A57D21" w:rsidP="00C657ED">
            <w:pPr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-2,9</w:t>
            </w:r>
          </w:p>
        </w:tc>
      </w:tr>
      <w:tr w:rsidR="00A24F65" w:rsidRPr="00DD57A1" w:rsidTr="00A20E98">
        <w:trPr>
          <w:trHeight w:val="834"/>
        </w:trPr>
        <w:tc>
          <w:tcPr>
            <w:tcW w:w="724" w:type="dxa"/>
            <w:shd w:val="clear" w:color="auto" w:fill="auto"/>
            <w:noWrap/>
          </w:tcPr>
          <w:p w:rsidR="00A24F65" w:rsidRPr="00CA7FE2" w:rsidRDefault="0075155F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4F65" w:rsidRPr="00B245CD" w:rsidRDefault="00A24F65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Финансово-бюджетная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24F65" w:rsidRPr="00B245CD" w:rsidRDefault="00DB0B53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92 020,2</w:t>
            </w:r>
          </w:p>
        </w:tc>
        <w:tc>
          <w:tcPr>
            <w:tcW w:w="1417" w:type="dxa"/>
            <w:shd w:val="clear" w:color="auto" w:fill="auto"/>
            <w:noWrap/>
          </w:tcPr>
          <w:p w:rsidR="00A24F65" w:rsidRPr="00B245CD" w:rsidRDefault="00A24F65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91974,6</w:t>
            </w:r>
          </w:p>
        </w:tc>
        <w:tc>
          <w:tcPr>
            <w:tcW w:w="1276" w:type="dxa"/>
            <w:shd w:val="clear" w:color="auto" w:fill="auto"/>
            <w:noWrap/>
          </w:tcPr>
          <w:p w:rsidR="00A24F65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-45,6</w:t>
            </w:r>
          </w:p>
        </w:tc>
        <w:tc>
          <w:tcPr>
            <w:tcW w:w="1134" w:type="dxa"/>
            <w:shd w:val="clear" w:color="auto" w:fill="auto"/>
            <w:noWrap/>
          </w:tcPr>
          <w:p w:rsidR="00A24F65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-0,04</w:t>
            </w:r>
          </w:p>
        </w:tc>
      </w:tr>
      <w:tr w:rsidR="00A24F65" w:rsidRPr="00DD57A1" w:rsidTr="00A20E98">
        <w:trPr>
          <w:trHeight w:val="611"/>
        </w:trPr>
        <w:tc>
          <w:tcPr>
            <w:tcW w:w="724" w:type="dxa"/>
            <w:shd w:val="clear" w:color="auto" w:fill="auto"/>
            <w:noWrap/>
          </w:tcPr>
          <w:p w:rsidR="00A24F65" w:rsidRPr="00CA7FE2" w:rsidRDefault="0075155F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4F65" w:rsidRPr="00B245CD" w:rsidRDefault="00A24F65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Контрольно-счетная палата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24F65" w:rsidRPr="00B245CD" w:rsidRDefault="00DB0B53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8 607,7</w:t>
            </w:r>
          </w:p>
        </w:tc>
        <w:tc>
          <w:tcPr>
            <w:tcW w:w="1417" w:type="dxa"/>
            <w:shd w:val="clear" w:color="auto" w:fill="auto"/>
            <w:noWrap/>
          </w:tcPr>
          <w:p w:rsidR="00A24F65" w:rsidRPr="00B245CD" w:rsidRDefault="00A24F65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8 587,0</w:t>
            </w:r>
          </w:p>
        </w:tc>
        <w:tc>
          <w:tcPr>
            <w:tcW w:w="1276" w:type="dxa"/>
            <w:shd w:val="clear" w:color="auto" w:fill="auto"/>
            <w:noWrap/>
          </w:tcPr>
          <w:p w:rsidR="00A24F65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-20,7</w:t>
            </w:r>
          </w:p>
        </w:tc>
        <w:tc>
          <w:tcPr>
            <w:tcW w:w="1134" w:type="dxa"/>
            <w:shd w:val="clear" w:color="auto" w:fill="auto"/>
            <w:noWrap/>
          </w:tcPr>
          <w:p w:rsidR="00A24F65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-0,2</w:t>
            </w:r>
          </w:p>
        </w:tc>
      </w:tr>
      <w:tr w:rsidR="00A57D21" w:rsidRPr="00DD57A1" w:rsidTr="00742161">
        <w:trPr>
          <w:trHeight w:val="844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lastRenderedPageBreak/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A57D21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 xml:space="preserve">Исполнительный комитет Альметьевского муниципального района 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715 801,9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742161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697 138,4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-18 663,5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-2,6</w:t>
            </w:r>
          </w:p>
        </w:tc>
      </w:tr>
      <w:tr w:rsidR="00A57D21" w:rsidRPr="00DD57A1" w:rsidTr="00A20E98">
        <w:trPr>
          <w:trHeight w:val="299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МУП «Комбинат здоровья»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14 900,0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14900,0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0</w:t>
            </w:r>
          </w:p>
        </w:tc>
      </w:tr>
      <w:tr w:rsidR="00A57D21" w:rsidRPr="00DD57A1" w:rsidTr="00A20E98">
        <w:trPr>
          <w:trHeight w:val="365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Совет ветеранов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0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«Административно-хозяйственное управление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51 787,4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49 143,9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-2643,5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-5,1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МАУ «МЦД «Визит»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8 219,3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8 206,1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-13,2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-0,2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МКУ «Управление гражданской защиты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2 048,6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2 045,6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-3,0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-0,1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Cs/>
                <w:sz w:val="20"/>
                <w:szCs w:val="20"/>
              </w:rPr>
            </w:pPr>
            <w:r w:rsidRPr="00CA7FE2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«Департамент экологии и природопользования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11 888,4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11 781,6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-</w:t>
            </w:r>
            <w:r w:rsidRPr="00B245CD">
              <w:rPr>
                <w:bCs/>
                <w:sz w:val="22"/>
                <w:szCs w:val="22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-0,9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«Управление архитектуры и градостроительства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4 139,8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4 125,1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-14,7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-0,3</w:t>
            </w:r>
          </w:p>
        </w:tc>
      </w:tr>
      <w:tr w:rsidR="00A57D21" w:rsidRPr="00DD57A1" w:rsidTr="00A20E98">
        <w:trPr>
          <w:trHeight w:val="624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Cs/>
                <w:sz w:val="20"/>
                <w:szCs w:val="20"/>
              </w:rPr>
            </w:pPr>
            <w:r w:rsidRPr="00CA7FE2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МБУ «Департамент по развитию предпринимательства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3 732,9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2 992,5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-740,4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-19,8</w:t>
            </w:r>
          </w:p>
        </w:tc>
      </w:tr>
      <w:tr w:rsidR="00A57D21" w:rsidRPr="00DD57A1" w:rsidTr="00A20E98">
        <w:trPr>
          <w:trHeight w:val="936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 xml:space="preserve">МБУ «Редакция газеты </w:t>
            </w:r>
            <w:proofErr w:type="spellStart"/>
            <w:r w:rsidRPr="00B245CD">
              <w:rPr>
                <w:i/>
                <w:sz w:val="22"/>
                <w:szCs w:val="22"/>
              </w:rPr>
              <w:t>Альметьевский</w:t>
            </w:r>
            <w:proofErr w:type="spellEnd"/>
            <w:r w:rsidRPr="00B245CD">
              <w:rPr>
                <w:i/>
                <w:sz w:val="22"/>
                <w:szCs w:val="22"/>
              </w:rPr>
              <w:t xml:space="preserve"> вестник Альметьевского муниципального района»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6 790,8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6 704,3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-86,5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-1,3</w:t>
            </w:r>
          </w:p>
        </w:tc>
      </w:tr>
      <w:tr w:rsidR="00A57D21" w:rsidRPr="00DD57A1" w:rsidTr="00A20E98">
        <w:trPr>
          <w:trHeight w:val="503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sz w:val="20"/>
                <w:szCs w:val="20"/>
              </w:rPr>
            </w:pPr>
            <w:r w:rsidRPr="00CA7FE2">
              <w:rPr>
                <w:sz w:val="20"/>
                <w:szCs w:val="20"/>
              </w:rPr>
              <w:t>940</w:t>
            </w:r>
          </w:p>
        </w:tc>
        <w:tc>
          <w:tcPr>
            <w:tcW w:w="3827" w:type="dxa"/>
            <w:shd w:val="clear" w:color="auto" w:fill="auto"/>
          </w:tcPr>
          <w:p w:rsidR="00A57D21" w:rsidRPr="00B245CD" w:rsidRDefault="00A57D21" w:rsidP="00A20E98">
            <w:pPr>
              <w:rPr>
                <w:i/>
                <w:sz w:val="22"/>
                <w:szCs w:val="22"/>
              </w:rPr>
            </w:pPr>
            <w:r w:rsidRPr="00B245CD">
              <w:rPr>
                <w:i/>
                <w:sz w:val="22"/>
                <w:szCs w:val="22"/>
              </w:rPr>
              <w:t>МАУ «Департамент жилищной политики и ЖКХ</w:t>
            </w:r>
            <w:r w:rsidR="00A20E9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171 759,5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168 608,9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-3 150,6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-1,8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A7FE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образования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2 451 526,7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2 359 477,4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-92 049,3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Cs/>
                <w:sz w:val="22"/>
                <w:szCs w:val="22"/>
              </w:rPr>
            </w:pPr>
            <w:r w:rsidRPr="00B245CD">
              <w:rPr>
                <w:bCs/>
                <w:sz w:val="22"/>
                <w:szCs w:val="22"/>
              </w:rPr>
              <w:t>-3,7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по делам детей и молодежи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98 160,2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96 522,0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-1 638,2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-1,7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по физической культуре, спорту и туризму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136 995,4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119 623,5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-17 371,9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-12,7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Управление культуры Альметьевского муниципального 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254 494,9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229 762,3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-24 732,6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-9,7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sz w:val="20"/>
                <w:szCs w:val="20"/>
              </w:rPr>
            </w:pPr>
            <w:r w:rsidRPr="00CA7FE2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7D21" w:rsidRPr="00B245CD" w:rsidRDefault="00A57D21" w:rsidP="00C657ED">
            <w:pPr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Палата земельных и имущественных отношений Альметьевского муниципального района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17 543,7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15</w:t>
            </w:r>
            <w:r w:rsidR="00C43E36" w:rsidRPr="00B245CD">
              <w:rPr>
                <w:sz w:val="22"/>
                <w:szCs w:val="22"/>
              </w:rPr>
              <w:t xml:space="preserve"> </w:t>
            </w:r>
            <w:r w:rsidRPr="00B245CD">
              <w:rPr>
                <w:sz w:val="22"/>
                <w:szCs w:val="22"/>
              </w:rPr>
              <w:t>967,3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- 1576,4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sz w:val="22"/>
                <w:szCs w:val="22"/>
              </w:rPr>
            </w:pPr>
            <w:r w:rsidRPr="00B245CD">
              <w:rPr>
                <w:sz w:val="22"/>
                <w:szCs w:val="22"/>
              </w:rPr>
              <w:t>-9,0</w:t>
            </w:r>
          </w:p>
        </w:tc>
      </w:tr>
      <w:tr w:rsidR="00A57D21" w:rsidRPr="00DD57A1" w:rsidTr="00A20E98">
        <w:trPr>
          <w:trHeight w:val="312"/>
        </w:trPr>
        <w:tc>
          <w:tcPr>
            <w:tcW w:w="724" w:type="dxa"/>
            <w:shd w:val="clear" w:color="auto" w:fill="auto"/>
            <w:noWrap/>
          </w:tcPr>
          <w:p w:rsidR="00A57D21" w:rsidRPr="00CA7FE2" w:rsidRDefault="00A57D21" w:rsidP="00C657E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57D21" w:rsidRPr="00B245CD" w:rsidRDefault="00A57D21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60" w:type="dxa"/>
            <w:shd w:val="clear" w:color="auto" w:fill="auto"/>
            <w:noWrap/>
          </w:tcPr>
          <w:p w:rsidR="00A57D21" w:rsidRPr="00B245CD" w:rsidRDefault="00A57D21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3 803 895,3</w:t>
            </w:r>
          </w:p>
        </w:tc>
        <w:tc>
          <w:tcPr>
            <w:tcW w:w="1417" w:type="dxa"/>
            <w:shd w:val="clear" w:color="auto" w:fill="auto"/>
            <w:noWrap/>
          </w:tcPr>
          <w:p w:rsidR="00A57D21" w:rsidRPr="00B245CD" w:rsidRDefault="00A57D21" w:rsidP="00A20E98">
            <w:pPr>
              <w:jc w:val="right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3 646 948,9</w:t>
            </w:r>
          </w:p>
        </w:tc>
        <w:tc>
          <w:tcPr>
            <w:tcW w:w="1276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-156 946,4</w:t>
            </w:r>
          </w:p>
        </w:tc>
        <w:tc>
          <w:tcPr>
            <w:tcW w:w="1134" w:type="dxa"/>
            <w:shd w:val="clear" w:color="auto" w:fill="auto"/>
            <w:noWrap/>
          </w:tcPr>
          <w:p w:rsidR="00A57D21" w:rsidRPr="00B245CD" w:rsidRDefault="00A2787D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B245CD">
              <w:rPr>
                <w:b/>
                <w:bCs/>
                <w:sz w:val="22"/>
                <w:szCs w:val="22"/>
              </w:rPr>
              <w:t>-4,1</w:t>
            </w:r>
          </w:p>
        </w:tc>
      </w:tr>
    </w:tbl>
    <w:p w:rsidR="00A24F65" w:rsidRPr="00A25A65" w:rsidRDefault="00A24F65" w:rsidP="00F86247">
      <w:pPr>
        <w:jc w:val="both"/>
        <w:rPr>
          <w:sz w:val="28"/>
          <w:szCs w:val="28"/>
        </w:rPr>
      </w:pPr>
    </w:p>
    <w:p w:rsidR="00576A80" w:rsidRPr="00576A80" w:rsidRDefault="00576A80" w:rsidP="00576A80">
      <w:pPr>
        <w:spacing w:line="276" w:lineRule="auto"/>
        <w:ind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>Анализ ведомственной структуры расходов установил, что утвержденные показатели не исполнены в полном объеме 9</w:t>
      </w:r>
      <w:r w:rsidR="00B13844">
        <w:rPr>
          <w:sz w:val="28"/>
          <w:szCs w:val="28"/>
        </w:rPr>
        <w:t xml:space="preserve"> (девятью)</w:t>
      </w:r>
      <w:r w:rsidRPr="00576A80">
        <w:rPr>
          <w:sz w:val="28"/>
          <w:szCs w:val="28"/>
        </w:rPr>
        <w:t xml:space="preserve"> распорядителями средств бюджета Альметьевского муниципального района, что составляет 100 процентов от общего количества распорядителей средств.</w:t>
      </w:r>
    </w:p>
    <w:p w:rsidR="00576A80" w:rsidRPr="00576A80" w:rsidRDefault="00576A80" w:rsidP="00576A80">
      <w:pPr>
        <w:spacing w:line="276" w:lineRule="auto"/>
        <w:ind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Наибольший объем не исполненных назначений установлен в Управлении образования Альметьевского муниципального района на сумму 92 049,3 </w:t>
      </w:r>
      <w:proofErr w:type="spellStart"/>
      <w:r w:rsidRPr="00576A80">
        <w:rPr>
          <w:sz w:val="28"/>
          <w:szCs w:val="28"/>
        </w:rPr>
        <w:t>тыс</w:t>
      </w:r>
      <w:proofErr w:type="gramStart"/>
      <w:r w:rsidRPr="00576A80">
        <w:rPr>
          <w:sz w:val="28"/>
          <w:szCs w:val="28"/>
        </w:rPr>
        <w:t>.р</w:t>
      </w:r>
      <w:proofErr w:type="gramEnd"/>
      <w:r w:rsidRPr="00576A80">
        <w:rPr>
          <w:sz w:val="28"/>
          <w:szCs w:val="28"/>
        </w:rPr>
        <w:t>уб</w:t>
      </w:r>
      <w:proofErr w:type="spellEnd"/>
      <w:r w:rsidR="00827310"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lastRenderedPageBreak/>
        <w:t>или на 3,7%,  Управлении культуры Альметьевского муниципального района – 24</w:t>
      </w:r>
      <w:r w:rsidR="00BB798C"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>732,6  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 w:rsidR="00827310"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9,7%, Исполнительном комитете Альметьевского муниципального района на сумму 18 663,5 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 w:rsidR="00827310"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2,6% и Управлении по физической культуре, спорту и туризму Альметьевского муниципального района -17 371,9 </w:t>
      </w:r>
      <w:proofErr w:type="spellStart"/>
      <w:r w:rsidRPr="00576A80">
        <w:rPr>
          <w:sz w:val="28"/>
          <w:szCs w:val="28"/>
        </w:rPr>
        <w:t>тыс.руб</w:t>
      </w:r>
      <w:proofErr w:type="spellEnd"/>
      <w:r w:rsidR="00827310">
        <w:rPr>
          <w:sz w:val="28"/>
          <w:szCs w:val="28"/>
        </w:rPr>
        <w:t>.</w:t>
      </w:r>
      <w:r w:rsidRPr="00576A80">
        <w:rPr>
          <w:sz w:val="28"/>
          <w:szCs w:val="28"/>
        </w:rPr>
        <w:t xml:space="preserve"> или на 12,7%. </w:t>
      </w:r>
    </w:p>
    <w:p w:rsidR="00576A80" w:rsidRPr="00576A80" w:rsidRDefault="00576A80" w:rsidP="00576A80">
      <w:pPr>
        <w:spacing w:line="276" w:lineRule="auto"/>
        <w:ind w:firstLine="720"/>
        <w:jc w:val="both"/>
        <w:rPr>
          <w:sz w:val="28"/>
          <w:szCs w:val="28"/>
        </w:rPr>
      </w:pPr>
      <w:r w:rsidRPr="00576A80">
        <w:rPr>
          <w:sz w:val="28"/>
          <w:szCs w:val="28"/>
        </w:rPr>
        <w:t xml:space="preserve">Неисполненные показатели утвержденных бюджетных назначений вышеуказанных учреждений в общей </w:t>
      </w:r>
      <w:proofErr w:type="gramStart"/>
      <w:r w:rsidRPr="00576A80">
        <w:rPr>
          <w:sz w:val="28"/>
          <w:szCs w:val="28"/>
        </w:rPr>
        <w:t>структуре</w:t>
      </w:r>
      <w:proofErr w:type="gramEnd"/>
      <w:r w:rsidRPr="00576A80">
        <w:rPr>
          <w:sz w:val="28"/>
          <w:szCs w:val="28"/>
        </w:rPr>
        <w:t xml:space="preserve"> не исполненных обязательств бюджета Альметьевского муниципального района составляют </w:t>
      </w:r>
      <w:r>
        <w:rPr>
          <w:sz w:val="28"/>
          <w:szCs w:val="28"/>
        </w:rPr>
        <w:t>97,4%</w:t>
      </w:r>
      <w:r w:rsidRPr="00576A80">
        <w:rPr>
          <w:sz w:val="28"/>
          <w:szCs w:val="28"/>
        </w:rPr>
        <w:t xml:space="preserve">. </w:t>
      </w:r>
    </w:p>
    <w:p w:rsidR="00BB798C" w:rsidRPr="009B1C48" w:rsidRDefault="00BB798C" w:rsidP="009B1C4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>Не освоение Управлением образования Альметьевского муниципального района утвержденных бюджетных назначений в сумме 92 049,3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отмечается по следующим подразделам: </w:t>
      </w:r>
    </w:p>
    <w:p w:rsidR="00BB798C" w:rsidRPr="009B1C48" w:rsidRDefault="00BB798C" w:rsidP="009B1C4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- 0701 «Дошкольное образование» в сумме </w:t>
      </w:r>
      <w:r w:rsidR="009B1C48" w:rsidRPr="009B1C48">
        <w:rPr>
          <w:sz w:val="28"/>
          <w:szCs w:val="28"/>
        </w:rPr>
        <w:t>20 458,0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</w:t>
      </w:r>
      <w:proofErr w:type="spellEnd"/>
      <w:r w:rsidRPr="009B1C48">
        <w:rPr>
          <w:sz w:val="28"/>
          <w:szCs w:val="28"/>
        </w:rPr>
        <w:t>.;</w:t>
      </w:r>
    </w:p>
    <w:p w:rsidR="00BB798C" w:rsidRPr="009B1C48" w:rsidRDefault="00BB798C" w:rsidP="009B1C4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- 0702 «Общее образование» – </w:t>
      </w:r>
      <w:r w:rsidR="009B1C48" w:rsidRPr="009B1C48">
        <w:rPr>
          <w:sz w:val="28"/>
          <w:szCs w:val="28"/>
        </w:rPr>
        <w:t>46 742,4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</w:t>
      </w:r>
      <w:proofErr w:type="spellEnd"/>
      <w:r w:rsidRPr="009B1C48">
        <w:rPr>
          <w:sz w:val="28"/>
          <w:szCs w:val="28"/>
        </w:rPr>
        <w:t>.;</w:t>
      </w:r>
    </w:p>
    <w:p w:rsidR="00BB798C" w:rsidRPr="009B1C48" w:rsidRDefault="00BB798C" w:rsidP="009B1C4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- 0707 «Молодежная политика» – </w:t>
      </w:r>
      <w:r w:rsidR="009B1C48" w:rsidRPr="009B1C48">
        <w:rPr>
          <w:sz w:val="28"/>
          <w:szCs w:val="28"/>
        </w:rPr>
        <w:t>2 084,3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</w:t>
      </w:r>
      <w:proofErr w:type="spellEnd"/>
      <w:r w:rsidRPr="009B1C48">
        <w:rPr>
          <w:sz w:val="28"/>
          <w:szCs w:val="28"/>
        </w:rPr>
        <w:t>.;</w:t>
      </w:r>
    </w:p>
    <w:p w:rsidR="00BB798C" w:rsidRDefault="00BB798C" w:rsidP="009B1C4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- 0709 «Другие вопросы в области образования» – </w:t>
      </w:r>
      <w:r w:rsidR="009B1C48" w:rsidRPr="009B1C48">
        <w:rPr>
          <w:sz w:val="28"/>
          <w:szCs w:val="28"/>
        </w:rPr>
        <w:t>8 073,0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</w:t>
      </w:r>
      <w:proofErr w:type="spellEnd"/>
      <w:r w:rsidRPr="009B1C48">
        <w:rPr>
          <w:sz w:val="28"/>
          <w:szCs w:val="28"/>
        </w:rPr>
        <w:t xml:space="preserve">., </w:t>
      </w:r>
    </w:p>
    <w:p w:rsidR="001120CB" w:rsidRDefault="001120CB" w:rsidP="001120CB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>- 1004 «Охрана семьи и детства» - 14 663,3 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>, в связи с уменьшением численности лиц, получающих социальную поддержку по оплате за посещение детских дошкольных образовательных учреждений.</w:t>
      </w:r>
    </w:p>
    <w:p w:rsidR="001120CB" w:rsidRDefault="004F47CE" w:rsidP="001120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экономией по заработной плате, в том числе за счет вакансий, больничных листов по всем учреждениям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; экономией по коммунальным услугам (оплата произведена по фактической потребности);</w:t>
      </w:r>
      <w:r w:rsidR="007A6E08">
        <w:rPr>
          <w:sz w:val="28"/>
          <w:szCs w:val="28"/>
        </w:rPr>
        <w:t xml:space="preserve"> </w:t>
      </w:r>
      <w:r w:rsidR="007A6E08" w:rsidRPr="00A20E98">
        <w:rPr>
          <w:color w:val="FF0000"/>
          <w:sz w:val="28"/>
          <w:szCs w:val="28"/>
        </w:rPr>
        <w:t xml:space="preserve"> </w:t>
      </w:r>
      <w:r w:rsidR="007A6E08" w:rsidRPr="007A6E08">
        <w:rPr>
          <w:sz w:val="28"/>
          <w:szCs w:val="28"/>
        </w:rPr>
        <w:t>неиспользованием субсидий РТ: на организацию отдыха, оздоровления, занятости детей и молодежи; субсидий на выплаты ежемесячной стимулирующей надбавки педагогическим работникам-молодым специалистам</w:t>
      </w:r>
      <w:r w:rsidR="007A6E08">
        <w:rPr>
          <w:sz w:val="28"/>
          <w:szCs w:val="28"/>
        </w:rPr>
        <w:t xml:space="preserve"> из-за имеющихся вакансий</w:t>
      </w:r>
      <w:r w:rsidR="007A6E08" w:rsidRPr="007A6E08">
        <w:rPr>
          <w:sz w:val="28"/>
          <w:szCs w:val="28"/>
        </w:rPr>
        <w:t xml:space="preserve">. </w:t>
      </w:r>
      <w:r w:rsidR="001120CB">
        <w:rPr>
          <w:sz w:val="28"/>
          <w:szCs w:val="28"/>
        </w:rPr>
        <w:t xml:space="preserve">   </w:t>
      </w:r>
      <w:proofErr w:type="gramEnd"/>
    </w:p>
    <w:p w:rsidR="001D6E89" w:rsidRDefault="001120CB" w:rsidP="001D6E8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 исполнение Указа Президента РФ № 597 от 07.05.2012 г. был создан резерв в целях повышения заработной платы педагогических работников образовательных учреждений в сумме 34 860,2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1D6E89">
        <w:rPr>
          <w:sz w:val="28"/>
          <w:szCs w:val="28"/>
        </w:rPr>
        <w:t xml:space="preserve">, </w:t>
      </w:r>
      <w:r w:rsidR="001D6E89">
        <w:rPr>
          <w:sz w:val="28"/>
          <w:szCs w:val="28"/>
        </w:rPr>
        <w:t xml:space="preserve">который </w:t>
      </w:r>
      <w:r w:rsidR="001D6E89">
        <w:rPr>
          <w:sz w:val="28"/>
          <w:szCs w:val="28"/>
        </w:rPr>
        <w:t xml:space="preserve">в 2016 году </w:t>
      </w:r>
      <w:r w:rsidR="001D6E89">
        <w:rPr>
          <w:sz w:val="28"/>
          <w:szCs w:val="28"/>
        </w:rPr>
        <w:t>не использован в связи с тем, что повышение оплаты труда педагогических работников</w:t>
      </w:r>
      <w:r w:rsidR="001D6E89">
        <w:rPr>
          <w:sz w:val="28"/>
          <w:szCs w:val="28"/>
        </w:rPr>
        <w:t xml:space="preserve"> </w:t>
      </w:r>
      <w:r w:rsidR="001D6E89">
        <w:rPr>
          <w:sz w:val="28"/>
          <w:szCs w:val="28"/>
        </w:rPr>
        <w:t>в 2016 году не производилось.</w:t>
      </w:r>
    </w:p>
    <w:p w:rsidR="0025504F" w:rsidRPr="001120CB" w:rsidRDefault="001120CB" w:rsidP="00142B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B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42B2E">
        <w:rPr>
          <w:sz w:val="28"/>
          <w:szCs w:val="28"/>
        </w:rPr>
        <w:t xml:space="preserve">В соответствии </w:t>
      </w:r>
      <w:r w:rsidR="0025504F">
        <w:rPr>
          <w:sz w:val="28"/>
          <w:szCs w:val="28"/>
        </w:rPr>
        <w:t>п.1.2.97 К</w:t>
      </w:r>
      <w:r w:rsidR="00142B2E">
        <w:rPr>
          <w:sz w:val="28"/>
          <w:szCs w:val="28"/>
        </w:rPr>
        <w:t xml:space="preserve">лассификатора нарушений, выявленных в ходе внешнего государственного аудита (контроля), </w:t>
      </w:r>
      <w:r w:rsidR="0025504F">
        <w:rPr>
          <w:sz w:val="28"/>
          <w:szCs w:val="28"/>
        </w:rPr>
        <w:t>одобренного 17.12.2014 г. советом КСО РФ, утвержденного</w:t>
      </w:r>
      <w:r w:rsidR="00142B2E">
        <w:rPr>
          <w:sz w:val="28"/>
          <w:szCs w:val="28"/>
        </w:rPr>
        <w:t xml:space="preserve"> 1</w:t>
      </w:r>
      <w:r w:rsidR="0025504F">
        <w:rPr>
          <w:sz w:val="28"/>
          <w:szCs w:val="28"/>
        </w:rPr>
        <w:t>8</w:t>
      </w:r>
      <w:r w:rsidR="00142B2E">
        <w:rPr>
          <w:sz w:val="28"/>
          <w:szCs w:val="28"/>
        </w:rPr>
        <w:t>.12.2014 года Счетной палат</w:t>
      </w:r>
      <w:r w:rsidR="0025504F">
        <w:rPr>
          <w:sz w:val="28"/>
          <w:szCs w:val="28"/>
        </w:rPr>
        <w:t>ой</w:t>
      </w:r>
      <w:r w:rsidR="00142B2E">
        <w:rPr>
          <w:sz w:val="28"/>
          <w:szCs w:val="28"/>
        </w:rPr>
        <w:t xml:space="preserve"> Российской Федерации (в редакции от 22 декабря 2015 года) </w:t>
      </w:r>
      <w:r w:rsidR="00142B2E" w:rsidRPr="0025504F">
        <w:rPr>
          <w:b/>
          <w:sz w:val="28"/>
          <w:szCs w:val="28"/>
        </w:rPr>
        <w:t xml:space="preserve">выявлено нарушение ст.158 Бюджетного </w:t>
      </w:r>
      <w:proofErr w:type="gramStart"/>
      <w:r w:rsidR="00142B2E" w:rsidRPr="0025504F">
        <w:rPr>
          <w:b/>
          <w:sz w:val="28"/>
          <w:szCs w:val="28"/>
        </w:rPr>
        <w:t xml:space="preserve">кодекса РФ 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 в сумме </w:t>
      </w:r>
      <w:r w:rsidR="001D6E89">
        <w:rPr>
          <w:b/>
          <w:sz w:val="28"/>
          <w:szCs w:val="28"/>
        </w:rPr>
        <w:t>49 802,3</w:t>
      </w:r>
      <w:proofErr w:type="gramEnd"/>
      <w:r w:rsidR="0025504F" w:rsidRPr="0025504F">
        <w:rPr>
          <w:b/>
          <w:sz w:val="28"/>
          <w:szCs w:val="28"/>
        </w:rPr>
        <w:t xml:space="preserve"> </w:t>
      </w:r>
      <w:proofErr w:type="spellStart"/>
      <w:r w:rsidR="0025504F" w:rsidRPr="0025504F">
        <w:rPr>
          <w:b/>
          <w:sz w:val="28"/>
          <w:szCs w:val="28"/>
        </w:rPr>
        <w:t>тыс</w:t>
      </w:r>
      <w:proofErr w:type="gramStart"/>
      <w:r w:rsidR="0025504F" w:rsidRPr="0025504F">
        <w:rPr>
          <w:b/>
          <w:sz w:val="28"/>
          <w:szCs w:val="28"/>
        </w:rPr>
        <w:t>.р</w:t>
      </w:r>
      <w:proofErr w:type="gramEnd"/>
      <w:r w:rsidR="0025504F" w:rsidRPr="0025504F">
        <w:rPr>
          <w:b/>
          <w:sz w:val="28"/>
          <w:szCs w:val="28"/>
        </w:rPr>
        <w:t>уб</w:t>
      </w:r>
      <w:proofErr w:type="spellEnd"/>
      <w:r w:rsidR="0025504F" w:rsidRPr="002550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20CB">
        <w:rPr>
          <w:sz w:val="28"/>
          <w:szCs w:val="28"/>
        </w:rPr>
        <w:t>(согласно справки предоставленной Финансово-бюджетной палатой Альметьевского муниципального района)</w:t>
      </w:r>
      <w:r w:rsidR="0025504F" w:rsidRPr="0025504F">
        <w:rPr>
          <w:b/>
          <w:sz w:val="28"/>
          <w:szCs w:val="28"/>
        </w:rPr>
        <w:t xml:space="preserve"> </w:t>
      </w:r>
      <w:r w:rsidR="0025504F" w:rsidRPr="001120CB">
        <w:rPr>
          <w:sz w:val="28"/>
          <w:szCs w:val="28"/>
        </w:rPr>
        <w:t>по причине:</w:t>
      </w:r>
    </w:p>
    <w:p w:rsidR="00142B2E" w:rsidRDefault="0025504F" w:rsidP="00255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</w:t>
      </w:r>
      <w:r w:rsidR="00142B2E">
        <w:rPr>
          <w:sz w:val="28"/>
          <w:szCs w:val="28"/>
        </w:rPr>
        <w:t xml:space="preserve"> в срок подрядчиками работ (услуг), поставки товаров; позднее заключение контрактов </w:t>
      </w:r>
      <w:r>
        <w:rPr>
          <w:sz w:val="28"/>
          <w:szCs w:val="28"/>
        </w:rPr>
        <w:t xml:space="preserve">(в том числе: </w:t>
      </w:r>
      <w:r>
        <w:rPr>
          <w:sz w:val="28"/>
          <w:szCs w:val="28"/>
        </w:rPr>
        <w:t xml:space="preserve">м/к № 2016.70668 от 26.12.2016 г., </w:t>
      </w:r>
      <w:r>
        <w:rPr>
          <w:sz w:val="28"/>
          <w:szCs w:val="28"/>
        </w:rPr>
        <w:lastRenderedPageBreak/>
        <w:t xml:space="preserve">поставка 3-Д оборудования на сумму </w:t>
      </w:r>
      <w:r>
        <w:rPr>
          <w:sz w:val="28"/>
          <w:szCs w:val="28"/>
        </w:rPr>
        <w:t xml:space="preserve">2344,5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  <w:r>
        <w:rPr>
          <w:sz w:val="28"/>
          <w:szCs w:val="28"/>
        </w:rPr>
        <w:t xml:space="preserve"> м/к № 2016.58714 от 02.12.2016 г., поставка игрушек на сумму 4 225,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 </w:t>
      </w:r>
      <w:r w:rsidR="00142B2E">
        <w:rPr>
          <w:sz w:val="28"/>
          <w:szCs w:val="28"/>
        </w:rPr>
        <w:t xml:space="preserve">– 3 493,2 </w:t>
      </w:r>
      <w:proofErr w:type="spellStart"/>
      <w:r w:rsidR="00142B2E">
        <w:rPr>
          <w:sz w:val="28"/>
          <w:szCs w:val="28"/>
        </w:rPr>
        <w:t>тыс.руб</w:t>
      </w:r>
      <w:proofErr w:type="spellEnd"/>
      <w:r w:rsidR="00142B2E">
        <w:rPr>
          <w:sz w:val="28"/>
          <w:szCs w:val="28"/>
        </w:rPr>
        <w:t>.;</w:t>
      </w:r>
    </w:p>
    <w:p w:rsidR="00142B2E" w:rsidRDefault="0025504F" w:rsidP="00142B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B2E">
        <w:rPr>
          <w:sz w:val="28"/>
          <w:szCs w:val="28"/>
        </w:rPr>
        <w:t>- отсутствие документов о выполнении работ, предоставлении услуг, поставки товаров – 3</w:t>
      </w:r>
      <w:r w:rsidR="001D6E89">
        <w:rPr>
          <w:sz w:val="28"/>
          <w:szCs w:val="28"/>
        </w:rPr>
        <w:t>8 112,0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1D6E89">
        <w:rPr>
          <w:sz w:val="28"/>
          <w:szCs w:val="28"/>
        </w:rPr>
        <w:t>;</w:t>
      </w:r>
    </w:p>
    <w:p w:rsidR="001D6E89" w:rsidRDefault="001D6E89" w:rsidP="00142B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своевременно не размещены муниципальные заказы, не заключены муниципальные контракты – 8 197,0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20E98" w:rsidRPr="009B1C48" w:rsidRDefault="00A20E98" w:rsidP="00A20E9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Не освоение Управлением </w:t>
      </w:r>
      <w:r>
        <w:rPr>
          <w:sz w:val="28"/>
          <w:szCs w:val="28"/>
        </w:rPr>
        <w:t>культуры</w:t>
      </w:r>
      <w:r w:rsidRPr="009B1C48">
        <w:rPr>
          <w:sz w:val="28"/>
          <w:szCs w:val="28"/>
        </w:rPr>
        <w:t xml:space="preserve"> Альметьевского муниципального района утвержденных бюджетных назначений в сумме </w:t>
      </w:r>
      <w:r w:rsidRPr="00576A8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576A80">
        <w:rPr>
          <w:sz w:val="28"/>
          <w:szCs w:val="28"/>
        </w:rPr>
        <w:t>732,6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отмечается по следующим подразделам: </w:t>
      </w:r>
    </w:p>
    <w:p w:rsidR="00A20E98" w:rsidRDefault="00A20E98" w:rsidP="00A20E98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-  0702 «Общее образование» – </w:t>
      </w:r>
      <w:r w:rsidR="00A655A6">
        <w:rPr>
          <w:sz w:val="28"/>
          <w:szCs w:val="28"/>
        </w:rPr>
        <w:t>19 965,2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</w:t>
      </w:r>
      <w:proofErr w:type="spellEnd"/>
      <w:r w:rsidRPr="009B1C48">
        <w:rPr>
          <w:sz w:val="28"/>
          <w:szCs w:val="28"/>
        </w:rPr>
        <w:t>.;</w:t>
      </w:r>
    </w:p>
    <w:p w:rsidR="00A20E98" w:rsidRDefault="00A20E98" w:rsidP="00A20E9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5A6">
        <w:rPr>
          <w:sz w:val="28"/>
          <w:szCs w:val="28"/>
        </w:rPr>
        <w:t xml:space="preserve"> 0801 «Культура» - 4 455,9 </w:t>
      </w:r>
      <w:proofErr w:type="spellStart"/>
      <w:r w:rsidR="00A655A6">
        <w:rPr>
          <w:sz w:val="28"/>
          <w:szCs w:val="28"/>
        </w:rPr>
        <w:t>тыс</w:t>
      </w:r>
      <w:proofErr w:type="gramStart"/>
      <w:r w:rsidR="00A655A6">
        <w:rPr>
          <w:sz w:val="28"/>
          <w:szCs w:val="28"/>
        </w:rPr>
        <w:t>.р</w:t>
      </w:r>
      <w:proofErr w:type="gramEnd"/>
      <w:r w:rsidR="00A655A6">
        <w:rPr>
          <w:sz w:val="28"/>
          <w:szCs w:val="28"/>
        </w:rPr>
        <w:t>уб</w:t>
      </w:r>
      <w:proofErr w:type="spellEnd"/>
      <w:r w:rsidR="00A655A6">
        <w:rPr>
          <w:sz w:val="28"/>
          <w:szCs w:val="28"/>
        </w:rPr>
        <w:t>.;</w:t>
      </w:r>
    </w:p>
    <w:p w:rsidR="00A655A6" w:rsidRDefault="00A655A6" w:rsidP="00A20E9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- 0804 «Другие вопросы в области культуры, кинематографии» - 307,8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655A6" w:rsidRDefault="00A655A6" w:rsidP="00A20E9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- 1000 «Социальная политика» - 3,6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D6E89" w:rsidRDefault="000C7591" w:rsidP="001D6E8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экономией по заработной плате, в том числе за счет вакансий, больничных листов по всем учреждениям культуры; экономией по коммунальным услугам (оплата произведена по фактической потребности); экономией по капитальному ремонту зданий по муниципальным контрактам (после экспертизы ТОДК фактически выполненные объемы подтвердились не полностью); экономией по торгам. Кроме того, во исполнение Указа Президента РФ № 597 от 07.05.2012 г. был создан резерв </w:t>
      </w:r>
      <w:r w:rsidR="00106C19">
        <w:rPr>
          <w:sz w:val="28"/>
          <w:szCs w:val="28"/>
        </w:rPr>
        <w:t>в целях повышения заработной платы педагогических работников образовательных учреждений дополнительного образования, работников учреждений культуры</w:t>
      </w:r>
      <w:r w:rsidR="004F47CE">
        <w:rPr>
          <w:sz w:val="28"/>
          <w:szCs w:val="28"/>
        </w:rPr>
        <w:t xml:space="preserve"> в сумме 17 495,0 </w:t>
      </w:r>
      <w:proofErr w:type="spellStart"/>
      <w:r w:rsidR="004F47CE">
        <w:rPr>
          <w:sz w:val="28"/>
          <w:szCs w:val="28"/>
        </w:rPr>
        <w:t>тыс</w:t>
      </w:r>
      <w:proofErr w:type="gramStart"/>
      <w:r w:rsidR="004F47CE">
        <w:rPr>
          <w:sz w:val="28"/>
          <w:szCs w:val="28"/>
        </w:rPr>
        <w:t>.р</w:t>
      </w:r>
      <w:proofErr w:type="gramEnd"/>
      <w:r w:rsidR="004F47CE">
        <w:rPr>
          <w:sz w:val="28"/>
          <w:szCs w:val="28"/>
        </w:rPr>
        <w:t>уб</w:t>
      </w:r>
      <w:proofErr w:type="spellEnd"/>
      <w:r w:rsidR="004F47CE">
        <w:rPr>
          <w:sz w:val="28"/>
          <w:szCs w:val="28"/>
        </w:rPr>
        <w:t>.</w:t>
      </w:r>
      <w:r w:rsidR="001D6E89">
        <w:rPr>
          <w:sz w:val="28"/>
          <w:szCs w:val="28"/>
        </w:rPr>
        <w:t xml:space="preserve">, </w:t>
      </w:r>
      <w:r w:rsidR="001D6E89">
        <w:rPr>
          <w:sz w:val="28"/>
          <w:szCs w:val="28"/>
        </w:rPr>
        <w:t>который не использован в связи с тем, что повышение оплаты труда педагогических работников</w:t>
      </w:r>
      <w:r w:rsidR="001D6E89">
        <w:rPr>
          <w:sz w:val="28"/>
          <w:szCs w:val="28"/>
        </w:rPr>
        <w:t>, работников учреждений культуры</w:t>
      </w:r>
      <w:r w:rsidR="001D6E89">
        <w:rPr>
          <w:sz w:val="28"/>
          <w:szCs w:val="28"/>
        </w:rPr>
        <w:t xml:space="preserve"> в 2016 году не производилось.</w:t>
      </w:r>
    </w:p>
    <w:p w:rsidR="000C7591" w:rsidRDefault="00106C19" w:rsidP="00E86A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89">
        <w:rPr>
          <w:sz w:val="28"/>
          <w:szCs w:val="28"/>
        </w:rPr>
        <w:t>Г</w:t>
      </w:r>
      <w:r>
        <w:rPr>
          <w:sz w:val="28"/>
          <w:szCs w:val="28"/>
        </w:rPr>
        <w:t>ранты Правительства РТ для поощрения лучших учреждений культуры получены в декабре 2016 года и не были освоены до конца отчетного года.</w:t>
      </w:r>
    </w:p>
    <w:p w:rsidR="007D4043" w:rsidRPr="009B1C48" w:rsidRDefault="007D4043" w:rsidP="007D4043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Не освоение Управлением </w:t>
      </w:r>
      <w:r>
        <w:rPr>
          <w:sz w:val="28"/>
          <w:szCs w:val="28"/>
        </w:rPr>
        <w:t>физической культуры, спорта и туризма</w:t>
      </w:r>
      <w:r w:rsidRPr="009B1C48">
        <w:rPr>
          <w:sz w:val="28"/>
          <w:szCs w:val="28"/>
        </w:rPr>
        <w:t xml:space="preserve"> Альметьевского муниципального района утвержденных бюджетных назначений в сумме </w:t>
      </w:r>
      <w:r w:rsidRPr="00576A80">
        <w:rPr>
          <w:sz w:val="28"/>
          <w:szCs w:val="28"/>
        </w:rPr>
        <w:t>17 371,9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отмечается </w:t>
      </w:r>
      <w:r>
        <w:rPr>
          <w:sz w:val="28"/>
          <w:szCs w:val="28"/>
        </w:rPr>
        <w:t xml:space="preserve">в основном </w:t>
      </w:r>
      <w:r w:rsidRPr="009B1C48">
        <w:rPr>
          <w:sz w:val="28"/>
          <w:szCs w:val="28"/>
        </w:rPr>
        <w:t>по подраздел</w:t>
      </w:r>
      <w:r>
        <w:rPr>
          <w:sz w:val="28"/>
          <w:szCs w:val="28"/>
        </w:rPr>
        <w:t>у</w:t>
      </w:r>
      <w:r w:rsidRPr="009B1C48">
        <w:rPr>
          <w:sz w:val="28"/>
          <w:szCs w:val="28"/>
        </w:rPr>
        <w:t xml:space="preserve">: </w:t>
      </w:r>
    </w:p>
    <w:p w:rsidR="007D4043" w:rsidRDefault="007D4043" w:rsidP="007D4043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>-  070</w:t>
      </w:r>
      <w:r>
        <w:rPr>
          <w:sz w:val="28"/>
          <w:szCs w:val="28"/>
        </w:rPr>
        <w:t>0</w:t>
      </w:r>
      <w:r w:rsidRPr="009B1C48">
        <w:rPr>
          <w:sz w:val="28"/>
          <w:szCs w:val="28"/>
        </w:rPr>
        <w:t xml:space="preserve"> «Образование» – </w:t>
      </w:r>
      <w:r>
        <w:rPr>
          <w:sz w:val="28"/>
          <w:szCs w:val="28"/>
        </w:rPr>
        <w:t xml:space="preserve"> 17318,2 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D4043" w:rsidRDefault="007D4043" w:rsidP="007D40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экономией по заработной плате, в том числе за счет вакансий, больничных листов по всем учреждениям; экономией по коммунальным услугам, </w:t>
      </w:r>
      <w:r w:rsidR="004F47CE">
        <w:rPr>
          <w:sz w:val="28"/>
          <w:szCs w:val="28"/>
        </w:rPr>
        <w:t>услугам связи</w:t>
      </w:r>
      <w:r>
        <w:rPr>
          <w:sz w:val="28"/>
          <w:szCs w:val="28"/>
        </w:rPr>
        <w:t xml:space="preserve"> (оплата произведена по фактической потребности); экономией по командировочным расходам в связи с </w:t>
      </w:r>
      <w:r w:rsidR="004F47CE">
        <w:rPr>
          <w:sz w:val="28"/>
          <w:szCs w:val="28"/>
        </w:rPr>
        <w:t xml:space="preserve">отменой соревнований из-за погодных условий и </w:t>
      </w:r>
      <w:r>
        <w:rPr>
          <w:sz w:val="28"/>
          <w:szCs w:val="28"/>
        </w:rPr>
        <w:t>изменением даты соревнований; экономией по торгам. Кроме того, во исполнение Указа Президента РФ № 597 от 07.05.2012 г. был создан резерв в целях повышения заработной платы педагогических работников образовательных учрежде</w:t>
      </w:r>
      <w:r w:rsidR="004F47CE">
        <w:rPr>
          <w:sz w:val="28"/>
          <w:szCs w:val="28"/>
        </w:rPr>
        <w:t xml:space="preserve">ний дополнительного образования в сумме 11 272,5 </w:t>
      </w:r>
      <w:proofErr w:type="spellStart"/>
      <w:r w:rsidR="004F47CE">
        <w:rPr>
          <w:sz w:val="28"/>
          <w:szCs w:val="28"/>
        </w:rPr>
        <w:t>тыс</w:t>
      </w:r>
      <w:proofErr w:type="gramStart"/>
      <w:r w:rsidR="004F47CE">
        <w:rPr>
          <w:sz w:val="28"/>
          <w:szCs w:val="28"/>
        </w:rPr>
        <w:t>.р</w:t>
      </w:r>
      <w:proofErr w:type="gramEnd"/>
      <w:r w:rsidR="004F47CE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1D6E89">
        <w:rPr>
          <w:sz w:val="28"/>
          <w:szCs w:val="28"/>
        </w:rPr>
        <w:t xml:space="preserve">, который не </w:t>
      </w:r>
      <w:r w:rsidR="001D6E89">
        <w:rPr>
          <w:sz w:val="28"/>
          <w:szCs w:val="28"/>
        </w:rPr>
        <w:lastRenderedPageBreak/>
        <w:t xml:space="preserve">использован в связи с тем, что </w:t>
      </w:r>
      <w:r w:rsidR="001D6E89">
        <w:rPr>
          <w:sz w:val="28"/>
          <w:szCs w:val="28"/>
        </w:rPr>
        <w:t>повышение оплаты труда педагогических работников в 2016 году не производилось.</w:t>
      </w:r>
    </w:p>
    <w:p w:rsidR="00E86A81" w:rsidRPr="00E86A81" w:rsidRDefault="0042748A" w:rsidP="00E86A81">
      <w:pPr>
        <w:spacing w:line="276" w:lineRule="auto"/>
        <w:ind w:firstLine="720"/>
        <w:jc w:val="both"/>
        <w:rPr>
          <w:sz w:val="28"/>
          <w:szCs w:val="28"/>
        </w:rPr>
      </w:pPr>
      <w:r w:rsidRPr="009B1C48">
        <w:rPr>
          <w:sz w:val="28"/>
          <w:szCs w:val="28"/>
        </w:rPr>
        <w:t xml:space="preserve">Не освоение </w:t>
      </w:r>
      <w:r>
        <w:rPr>
          <w:sz w:val="28"/>
          <w:szCs w:val="28"/>
        </w:rPr>
        <w:t xml:space="preserve">Исполнительным комитетом </w:t>
      </w:r>
      <w:r w:rsidRPr="009B1C48">
        <w:rPr>
          <w:sz w:val="28"/>
          <w:szCs w:val="28"/>
        </w:rPr>
        <w:t xml:space="preserve"> Альметьевского муниципального района утвержденных бюджетных назначений в сумме </w:t>
      </w:r>
      <w:r>
        <w:rPr>
          <w:sz w:val="28"/>
          <w:szCs w:val="28"/>
        </w:rPr>
        <w:t>18</w:t>
      </w:r>
      <w:r w:rsidR="008C0C7A">
        <w:rPr>
          <w:sz w:val="28"/>
          <w:szCs w:val="28"/>
        </w:rPr>
        <w:t xml:space="preserve"> </w:t>
      </w:r>
      <w:r>
        <w:rPr>
          <w:sz w:val="28"/>
          <w:szCs w:val="28"/>
        </w:rPr>
        <w:t>663,5</w:t>
      </w:r>
      <w:r w:rsidRPr="009B1C48">
        <w:rPr>
          <w:sz w:val="28"/>
          <w:szCs w:val="28"/>
        </w:rPr>
        <w:t> </w:t>
      </w:r>
      <w:proofErr w:type="spellStart"/>
      <w:r w:rsidRPr="009B1C48">
        <w:rPr>
          <w:sz w:val="28"/>
          <w:szCs w:val="28"/>
        </w:rPr>
        <w:t>тыс</w:t>
      </w:r>
      <w:proofErr w:type="gramStart"/>
      <w:r w:rsidRPr="009B1C48">
        <w:rPr>
          <w:sz w:val="28"/>
          <w:szCs w:val="28"/>
        </w:rPr>
        <w:t>.р</w:t>
      </w:r>
      <w:proofErr w:type="gramEnd"/>
      <w:r w:rsidRPr="009B1C48">
        <w:rPr>
          <w:sz w:val="28"/>
          <w:szCs w:val="28"/>
        </w:rPr>
        <w:t>ублей</w:t>
      </w:r>
      <w:proofErr w:type="spellEnd"/>
      <w:r w:rsidRPr="009B1C4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 с не</w:t>
      </w:r>
      <w:r w:rsidR="001A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освоением субсидий и субвенций, выделенных из бюджета Республики Татарстан,  </w:t>
      </w:r>
      <w:r w:rsidR="00E86A81" w:rsidRPr="00E86A81">
        <w:rPr>
          <w:sz w:val="28"/>
          <w:szCs w:val="28"/>
        </w:rPr>
        <w:t>принятие</w:t>
      </w:r>
      <w:r>
        <w:rPr>
          <w:sz w:val="28"/>
          <w:szCs w:val="28"/>
        </w:rPr>
        <w:t>м</w:t>
      </w:r>
      <w:r w:rsidR="00E86A81" w:rsidRPr="00E86A81">
        <w:rPr>
          <w:sz w:val="28"/>
          <w:szCs w:val="28"/>
        </w:rPr>
        <w:t xml:space="preserve"> расходных обязательств</w:t>
      </w:r>
      <w:r w:rsidR="005F13C9">
        <w:rPr>
          <w:sz w:val="28"/>
          <w:szCs w:val="28"/>
        </w:rPr>
        <w:t xml:space="preserve"> в конце отчетного года</w:t>
      </w:r>
      <w:r w:rsidR="00E86A81" w:rsidRPr="00E86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A80" w:rsidRPr="00C43E36" w:rsidRDefault="00576A80" w:rsidP="00C43E36">
      <w:pPr>
        <w:spacing w:line="276" w:lineRule="auto"/>
        <w:ind w:firstLine="720"/>
        <w:jc w:val="both"/>
        <w:rPr>
          <w:sz w:val="28"/>
          <w:szCs w:val="28"/>
        </w:rPr>
      </w:pPr>
      <w:r w:rsidRPr="00C43E36">
        <w:rPr>
          <w:sz w:val="28"/>
          <w:szCs w:val="28"/>
        </w:rPr>
        <w:t xml:space="preserve">Наибольший удельный вес в расходах бюджета </w:t>
      </w:r>
      <w:r w:rsidR="00C43E36" w:rsidRPr="00C43E36">
        <w:rPr>
          <w:sz w:val="28"/>
          <w:szCs w:val="28"/>
        </w:rPr>
        <w:t xml:space="preserve">Альметьевского муниципального района </w:t>
      </w:r>
      <w:r w:rsidRPr="00C43E36">
        <w:rPr>
          <w:sz w:val="28"/>
          <w:szCs w:val="28"/>
        </w:rPr>
        <w:t>по ведомственной структуре составляют:</w:t>
      </w:r>
    </w:p>
    <w:p w:rsidR="00576A80" w:rsidRPr="00C43E36" w:rsidRDefault="00576A80" w:rsidP="00C43E36">
      <w:pPr>
        <w:spacing w:line="276" w:lineRule="auto"/>
        <w:jc w:val="both"/>
        <w:rPr>
          <w:sz w:val="28"/>
          <w:szCs w:val="28"/>
        </w:rPr>
      </w:pPr>
      <w:r w:rsidRPr="00C43E36">
        <w:rPr>
          <w:sz w:val="28"/>
          <w:szCs w:val="28"/>
        </w:rPr>
        <w:t>- </w:t>
      </w:r>
      <w:r w:rsidR="00C43E36" w:rsidRPr="00C43E36">
        <w:rPr>
          <w:sz w:val="28"/>
          <w:szCs w:val="28"/>
        </w:rPr>
        <w:t xml:space="preserve">Управление образования Альметьевского муниципального района </w:t>
      </w:r>
      <w:r w:rsidRPr="00C43E36">
        <w:rPr>
          <w:sz w:val="28"/>
          <w:szCs w:val="28"/>
        </w:rPr>
        <w:t xml:space="preserve">– </w:t>
      </w:r>
      <w:r w:rsidR="00C43E36" w:rsidRPr="00C43E36">
        <w:rPr>
          <w:sz w:val="28"/>
          <w:szCs w:val="28"/>
        </w:rPr>
        <w:t>64,7%</w:t>
      </w:r>
      <w:r w:rsidRPr="00C43E36">
        <w:rPr>
          <w:sz w:val="28"/>
          <w:szCs w:val="28"/>
        </w:rPr>
        <w:t>;</w:t>
      </w:r>
    </w:p>
    <w:p w:rsidR="00C43E36" w:rsidRPr="00C43E36" w:rsidRDefault="00576A80" w:rsidP="00C43E36">
      <w:pPr>
        <w:spacing w:line="276" w:lineRule="auto"/>
        <w:jc w:val="both"/>
        <w:rPr>
          <w:sz w:val="28"/>
          <w:szCs w:val="28"/>
        </w:rPr>
      </w:pPr>
      <w:r w:rsidRPr="00C43E36">
        <w:rPr>
          <w:sz w:val="28"/>
          <w:szCs w:val="28"/>
        </w:rPr>
        <w:t>- </w:t>
      </w:r>
      <w:r w:rsidR="00C43E36" w:rsidRPr="00C43E36">
        <w:rPr>
          <w:sz w:val="28"/>
          <w:szCs w:val="28"/>
        </w:rPr>
        <w:t>Исполнительный комитет Альметьевского муниципального района – 19,1%;</w:t>
      </w:r>
    </w:p>
    <w:p w:rsidR="00C43E36" w:rsidRPr="00C43E36" w:rsidRDefault="00C43E36" w:rsidP="00C43E36">
      <w:pPr>
        <w:spacing w:line="276" w:lineRule="auto"/>
        <w:jc w:val="both"/>
        <w:rPr>
          <w:sz w:val="28"/>
          <w:szCs w:val="28"/>
        </w:rPr>
      </w:pPr>
      <w:r w:rsidRPr="00C43E36">
        <w:rPr>
          <w:sz w:val="28"/>
          <w:szCs w:val="28"/>
        </w:rPr>
        <w:t>- Управление культуры Альметьевского муниципального  района – 6,3%;</w:t>
      </w:r>
    </w:p>
    <w:p w:rsidR="00C43E36" w:rsidRDefault="00C43E36" w:rsidP="00C43E36">
      <w:pPr>
        <w:spacing w:line="276" w:lineRule="auto"/>
        <w:jc w:val="both"/>
        <w:rPr>
          <w:sz w:val="28"/>
          <w:szCs w:val="28"/>
        </w:rPr>
      </w:pPr>
      <w:r w:rsidRPr="00C43E36">
        <w:rPr>
          <w:sz w:val="28"/>
          <w:szCs w:val="28"/>
        </w:rPr>
        <w:t>- Управление по физической культуре, спорту и туризму Альметьевского муниципального района – 3,3%.</w:t>
      </w:r>
    </w:p>
    <w:p w:rsidR="00B4333B" w:rsidRDefault="00B4333B" w:rsidP="00C43E36">
      <w:pPr>
        <w:spacing w:line="276" w:lineRule="auto"/>
        <w:jc w:val="both"/>
        <w:rPr>
          <w:sz w:val="28"/>
          <w:szCs w:val="28"/>
        </w:rPr>
      </w:pPr>
    </w:p>
    <w:p w:rsidR="00CA7FE2" w:rsidRDefault="00CA7FE2" w:rsidP="00CA7F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90628">
        <w:rPr>
          <w:b/>
          <w:i/>
          <w:sz w:val="28"/>
          <w:szCs w:val="28"/>
        </w:rPr>
        <w:t xml:space="preserve">Анализ исполнения расходов на реализацию </w:t>
      </w:r>
    </w:p>
    <w:p w:rsidR="00CA7FE2" w:rsidRPr="00490628" w:rsidRDefault="00CA7FE2" w:rsidP="00CA7FE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Муниципальных </w:t>
      </w:r>
      <w:r w:rsidRPr="00490628">
        <w:rPr>
          <w:b/>
          <w:i/>
          <w:sz w:val="28"/>
          <w:szCs w:val="28"/>
        </w:rPr>
        <w:t>программ</w:t>
      </w:r>
    </w:p>
    <w:p w:rsidR="00CA7FE2" w:rsidRDefault="00CA7FE2" w:rsidP="00CA7FE2">
      <w:pPr>
        <w:autoSpaceDE w:val="0"/>
        <w:autoSpaceDN w:val="0"/>
        <w:adjustRightInd w:val="0"/>
        <w:rPr>
          <w:sz w:val="26"/>
          <w:szCs w:val="26"/>
        </w:rPr>
      </w:pPr>
    </w:p>
    <w:p w:rsidR="00CA7FE2" w:rsidRPr="00CD1537" w:rsidRDefault="00CA7FE2" w:rsidP="00B4333B">
      <w:pPr>
        <w:spacing w:line="276" w:lineRule="auto"/>
        <w:ind w:right="-85" w:firstLine="567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Решением Совета Альметьевского муниципального района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Альметьевского муниципального района на 2016 год от 10 декабря 2015 г. № 24 предусмотрены расходы на реализацию </w:t>
      </w:r>
      <w:r w:rsidRPr="00CD1537">
        <w:rPr>
          <w:sz w:val="28"/>
          <w:szCs w:val="28"/>
        </w:rPr>
        <w:t> </w:t>
      </w:r>
      <w:r>
        <w:rPr>
          <w:sz w:val="28"/>
          <w:szCs w:val="28"/>
        </w:rPr>
        <w:t>11-ти</w:t>
      </w:r>
      <w:r w:rsidRPr="00CD1537">
        <w:rPr>
          <w:sz w:val="28"/>
          <w:szCs w:val="28"/>
        </w:rPr>
        <w:t xml:space="preserve"> муниципальных  программ (присвоен соответствующий код расходов) на общую сумму </w:t>
      </w:r>
      <w:r w:rsidRPr="000E61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434 309,3</w:t>
      </w:r>
      <w:r>
        <w:rPr>
          <w:b/>
          <w:bCs/>
          <w:sz w:val="22"/>
          <w:szCs w:val="22"/>
        </w:rPr>
        <w:t xml:space="preserve"> </w:t>
      </w:r>
      <w:r w:rsidRPr="00CD153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72,6</w:t>
      </w:r>
      <w:r w:rsidRPr="00CD1537">
        <w:rPr>
          <w:sz w:val="28"/>
          <w:szCs w:val="28"/>
        </w:rPr>
        <w:t>% от объема расходов бюджета Альметьевского муниципального района на 201</w:t>
      </w:r>
      <w:r>
        <w:rPr>
          <w:sz w:val="28"/>
          <w:szCs w:val="28"/>
        </w:rPr>
        <w:t>6</w:t>
      </w:r>
      <w:r w:rsidRPr="00CD1537">
        <w:rPr>
          <w:sz w:val="28"/>
          <w:szCs w:val="28"/>
        </w:rPr>
        <w:t xml:space="preserve"> год.</w:t>
      </w:r>
      <w:proofErr w:type="gramEnd"/>
    </w:p>
    <w:p w:rsidR="00CA7FE2" w:rsidRDefault="00CA7FE2" w:rsidP="00B43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Последующими изменениями и дополнениями к Решению Совета </w:t>
      </w:r>
      <w:r>
        <w:rPr>
          <w:sz w:val="26"/>
          <w:szCs w:val="26"/>
        </w:rPr>
        <w:t>Альметьевского муниципального района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Альметьевского муниципального района на 2016 год от 10 декабря 2014 г. № 24, </w:t>
      </w:r>
      <w:r w:rsidRPr="00471CE4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471CE4">
        <w:rPr>
          <w:sz w:val="28"/>
          <w:szCs w:val="28"/>
        </w:rPr>
        <w:t xml:space="preserve">  от  </w:t>
      </w:r>
      <w:r>
        <w:rPr>
          <w:sz w:val="28"/>
          <w:szCs w:val="28"/>
        </w:rPr>
        <w:t>29.04</w:t>
      </w:r>
      <w:r w:rsidRPr="00471C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 xml:space="preserve">г.,  №  </w:t>
      </w:r>
      <w:r>
        <w:rPr>
          <w:sz w:val="28"/>
          <w:szCs w:val="28"/>
        </w:rPr>
        <w:t>74</w:t>
      </w:r>
      <w:r w:rsidRPr="00471CE4">
        <w:rPr>
          <w:sz w:val="28"/>
          <w:szCs w:val="28"/>
        </w:rPr>
        <w:t xml:space="preserve"> от </w:t>
      </w:r>
      <w:r>
        <w:rPr>
          <w:sz w:val="28"/>
          <w:szCs w:val="28"/>
        </w:rPr>
        <w:t>26.05.</w:t>
      </w:r>
      <w:r w:rsidRPr="00471CE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 xml:space="preserve">г., № </w:t>
      </w:r>
      <w:r>
        <w:rPr>
          <w:sz w:val="28"/>
          <w:szCs w:val="28"/>
        </w:rPr>
        <w:t>79</w:t>
      </w:r>
      <w:r w:rsidRPr="00471CE4">
        <w:rPr>
          <w:sz w:val="28"/>
          <w:szCs w:val="28"/>
        </w:rPr>
        <w:t xml:space="preserve"> от </w:t>
      </w:r>
      <w:r>
        <w:rPr>
          <w:sz w:val="28"/>
          <w:szCs w:val="28"/>
        </w:rPr>
        <w:t>10.08</w:t>
      </w:r>
      <w:r w:rsidRPr="00471C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 xml:space="preserve">г.,  № </w:t>
      </w:r>
      <w:r>
        <w:rPr>
          <w:sz w:val="28"/>
          <w:szCs w:val="28"/>
        </w:rPr>
        <w:t>89</w:t>
      </w:r>
      <w:r w:rsidRPr="00471CE4">
        <w:rPr>
          <w:sz w:val="28"/>
          <w:szCs w:val="28"/>
        </w:rPr>
        <w:t xml:space="preserve"> от  </w:t>
      </w:r>
      <w:r>
        <w:rPr>
          <w:sz w:val="28"/>
          <w:szCs w:val="28"/>
        </w:rPr>
        <w:t>06.10</w:t>
      </w:r>
      <w:r w:rsidRPr="00471C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 xml:space="preserve"> г., № </w:t>
      </w:r>
      <w:r>
        <w:rPr>
          <w:sz w:val="28"/>
          <w:szCs w:val="28"/>
        </w:rPr>
        <w:t>131</w:t>
      </w:r>
      <w:r w:rsidRPr="00471CE4">
        <w:rPr>
          <w:sz w:val="28"/>
          <w:szCs w:val="28"/>
        </w:rPr>
        <w:t xml:space="preserve"> от </w:t>
      </w:r>
      <w:r>
        <w:rPr>
          <w:sz w:val="28"/>
          <w:szCs w:val="28"/>
        </w:rPr>
        <w:t>08.11</w:t>
      </w:r>
      <w:r w:rsidRPr="00471C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>г., №</w:t>
      </w:r>
      <w:r>
        <w:rPr>
          <w:sz w:val="28"/>
          <w:szCs w:val="28"/>
        </w:rPr>
        <w:t>138</w:t>
      </w:r>
      <w:r w:rsidRPr="00471CE4">
        <w:rPr>
          <w:sz w:val="28"/>
          <w:szCs w:val="28"/>
        </w:rPr>
        <w:t xml:space="preserve"> от </w:t>
      </w:r>
      <w:r>
        <w:rPr>
          <w:sz w:val="28"/>
          <w:szCs w:val="28"/>
        </w:rPr>
        <w:t>30.11</w:t>
      </w:r>
      <w:r w:rsidRPr="00471CE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CE4">
        <w:rPr>
          <w:sz w:val="28"/>
          <w:szCs w:val="28"/>
        </w:rPr>
        <w:t xml:space="preserve">г., № </w:t>
      </w:r>
      <w:r>
        <w:rPr>
          <w:sz w:val="28"/>
          <w:szCs w:val="28"/>
        </w:rPr>
        <w:t>143</w:t>
      </w:r>
      <w:r w:rsidRPr="00471CE4">
        <w:rPr>
          <w:sz w:val="28"/>
          <w:szCs w:val="28"/>
        </w:rPr>
        <w:t xml:space="preserve"> от 2</w:t>
      </w:r>
      <w:r>
        <w:rPr>
          <w:sz w:val="28"/>
          <w:szCs w:val="28"/>
        </w:rPr>
        <w:t>8.12.2016г</w:t>
      </w:r>
      <w:r w:rsidRPr="00471CE4">
        <w:rPr>
          <w:sz w:val="28"/>
          <w:szCs w:val="28"/>
        </w:rPr>
        <w:t xml:space="preserve">., </w:t>
      </w:r>
      <w:r>
        <w:rPr>
          <w:sz w:val="28"/>
          <w:szCs w:val="28"/>
        </w:rPr>
        <w:t>расходы на реализацию муниципальных программ утверждены  в сумме</w:t>
      </w:r>
      <w:proofErr w:type="gramEnd"/>
      <w:r>
        <w:rPr>
          <w:sz w:val="28"/>
          <w:szCs w:val="28"/>
        </w:rPr>
        <w:t xml:space="preserve">  </w:t>
      </w:r>
      <w:r w:rsidRPr="00471CE4">
        <w:rPr>
          <w:bCs/>
          <w:sz w:val="28"/>
          <w:szCs w:val="28"/>
        </w:rPr>
        <w:t>2 516 359,0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CA7FE2" w:rsidRDefault="00CA7FE2" w:rsidP="00B43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>
        <w:rPr>
          <w:sz w:val="26"/>
          <w:szCs w:val="26"/>
        </w:rPr>
        <w:t xml:space="preserve">о итогам года кассовые расходы составили </w:t>
      </w:r>
      <w:r w:rsidRPr="00F5485A">
        <w:rPr>
          <w:bCs/>
          <w:sz w:val="28"/>
          <w:szCs w:val="28"/>
        </w:rPr>
        <w:t>2 409 854,2 т</w:t>
      </w:r>
      <w:r w:rsidRPr="00F5485A">
        <w:rPr>
          <w:sz w:val="28"/>
          <w:szCs w:val="28"/>
        </w:rPr>
        <w:t>ыс</w:t>
      </w:r>
      <w:r>
        <w:rPr>
          <w:sz w:val="26"/>
          <w:szCs w:val="26"/>
        </w:rPr>
        <w:t>. рублей или 95,8 % от первоначально утвержденных показателей.</w:t>
      </w:r>
      <w:r>
        <w:rPr>
          <w:sz w:val="28"/>
          <w:szCs w:val="28"/>
        </w:rPr>
        <w:t xml:space="preserve">   </w:t>
      </w:r>
    </w:p>
    <w:p w:rsidR="00B4333B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C3F">
        <w:rPr>
          <w:sz w:val="28"/>
          <w:szCs w:val="28"/>
        </w:rPr>
        <w:t xml:space="preserve">Информация об исполнении расходов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F85C3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муниципальных </w:t>
      </w:r>
      <w:r w:rsidRPr="00F85C3F">
        <w:rPr>
          <w:sz w:val="28"/>
          <w:szCs w:val="28"/>
        </w:rPr>
        <w:t>программ за 201</w:t>
      </w:r>
      <w:r>
        <w:rPr>
          <w:sz w:val="28"/>
          <w:szCs w:val="28"/>
        </w:rPr>
        <w:t>5</w:t>
      </w:r>
      <w:r w:rsidRPr="00F85C3F">
        <w:rPr>
          <w:sz w:val="28"/>
          <w:szCs w:val="28"/>
        </w:rPr>
        <w:t xml:space="preserve"> год представлена в </w:t>
      </w:r>
      <w:r>
        <w:rPr>
          <w:sz w:val="28"/>
          <w:szCs w:val="28"/>
        </w:rPr>
        <w:t xml:space="preserve">следующей таблице:                             </w:t>
      </w:r>
    </w:p>
    <w:p w:rsidR="00CA7FE2" w:rsidRDefault="00B4333B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A7FE2">
        <w:rPr>
          <w:sz w:val="28"/>
          <w:szCs w:val="28"/>
        </w:rPr>
        <w:t xml:space="preserve"> (</w:t>
      </w:r>
      <w:proofErr w:type="spellStart"/>
      <w:r w:rsidR="00CA7FE2">
        <w:rPr>
          <w:sz w:val="28"/>
          <w:szCs w:val="28"/>
        </w:rPr>
        <w:t>тыс</w:t>
      </w:r>
      <w:proofErr w:type="gramStart"/>
      <w:r w:rsidR="00CA7FE2">
        <w:rPr>
          <w:sz w:val="28"/>
          <w:szCs w:val="28"/>
        </w:rPr>
        <w:t>.р</w:t>
      </w:r>
      <w:proofErr w:type="gramEnd"/>
      <w:r w:rsidR="00CA7FE2">
        <w:rPr>
          <w:sz w:val="28"/>
          <w:szCs w:val="28"/>
        </w:rPr>
        <w:t>уб</w:t>
      </w:r>
      <w:proofErr w:type="spellEnd"/>
      <w:r w:rsidR="00CA7FE2">
        <w:rPr>
          <w:sz w:val="28"/>
          <w:szCs w:val="28"/>
        </w:rPr>
        <w:t>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1418"/>
        <w:gridCol w:w="1275"/>
        <w:gridCol w:w="851"/>
        <w:gridCol w:w="709"/>
      </w:tblGrid>
      <w:tr w:rsidR="00CA7FE2" w:rsidRPr="001712B8" w:rsidTr="00C657ED">
        <w:trPr>
          <w:trHeight w:val="957"/>
        </w:trPr>
        <w:tc>
          <w:tcPr>
            <w:tcW w:w="582" w:type="dxa"/>
            <w:shd w:val="clear" w:color="auto" w:fill="auto"/>
            <w:hideMark/>
          </w:tcPr>
          <w:p w:rsidR="00CA7FE2" w:rsidRPr="00B43E58" w:rsidRDefault="00CA7FE2" w:rsidP="00C657ED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hideMark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24 от 10.12.2015</w:t>
            </w:r>
          </w:p>
        </w:tc>
        <w:tc>
          <w:tcPr>
            <w:tcW w:w="1418" w:type="dxa"/>
            <w:shd w:val="clear" w:color="auto" w:fill="auto"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о бюджете № 143</w:t>
            </w:r>
            <w:r w:rsidRPr="00604B3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A6C67">
              <w:rPr>
                <w:b/>
                <w:sz w:val="22"/>
                <w:szCs w:val="22"/>
              </w:rPr>
              <w:t>от 28.12.2016</w:t>
            </w:r>
          </w:p>
        </w:tc>
        <w:tc>
          <w:tcPr>
            <w:tcW w:w="1275" w:type="dxa"/>
            <w:shd w:val="clear" w:color="auto" w:fill="auto"/>
            <w:hideMark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 по Отчету за 2016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% к утв.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  <w:tc>
          <w:tcPr>
            <w:tcW w:w="709" w:type="dxa"/>
            <w:shd w:val="clear" w:color="auto" w:fill="auto"/>
            <w:hideMark/>
          </w:tcPr>
          <w:p w:rsidR="00CA7FE2" w:rsidRPr="001712B8" w:rsidRDefault="00CA7FE2" w:rsidP="00C657E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spellEnd"/>
            <w:r w:rsidRPr="001712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бюджету</w:t>
            </w:r>
          </w:p>
        </w:tc>
      </w:tr>
      <w:tr w:rsidR="00CA7FE2" w:rsidRPr="00DD57A1" w:rsidTr="00C657ED">
        <w:trPr>
          <w:trHeight w:val="611"/>
        </w:trPr>
        <w:tc>
          <w:tcPr>
            <w:tcW w:w="582" w:type="dxa"/>
            <w:shd w:val="clear" w:color="auto" w:fill="auto"/>
            <w:noWrap/>
          </w:tcPr>
          <w:p w:rsidR="00CA7FE2" w:rsidRPr="00B43E58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развития дошкольного, начального общего, основного общего, среднего (полного) общего образования </w:t>
            </w:r>
            <w:r>
              <w:rPr>
                <w:bCs/>
                <w:sz w:val="20"/>
                <w:szCs w:val="20"/>
              </w:rPr>
              <w:t>Альметьевского муниципального района на 2015-2017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2 303 910,0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2 302 910,0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4F43C7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2 208 007,0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CA7FE2" w:rsidRPr="00DD57A1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B43E58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физической культуры и спорта в Альметьевском муниципальном районе на 2014-2016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8A3172" w:rsidRDefault="00CA7FE2" w:rsidP="00C65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117 881,0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109 323,0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104 826,8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CA7FE2" w:rsidRPr="00DD57A1" w:rsidTr="00C657ED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A7FE2" w:rsidRPr="00B43E58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молодежная программа Альметьевского муниципального района на 2016-2020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77 405,3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76 229,0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CA7FE2" w:rsidRPr="00DD57A1" w:rsidTr="00C657ED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A7FE2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A7FE2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«Патриотическое воспитание детей и молодежи Альметьевского муниципального района на 2016-2020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7FE2" w:rsidRPr="00DD57A1" w:rsidTr="00C657ED">
        <w:trPr>
          <w:trHeight w:val="619"/>
        </w:trPr>
        <w:tc>
          <w:tcPr>
            <w:tcW w:w="582" w:type="dxa"/>
            <w:shd w:val="clear" w:color="auto" w:fill="auto"/>
            <w:noWrap/>
          </w:tcPr>
          <w:p w:rsidR="00CA7FE2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A7FE2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государственной национальной политики в Альметьевском муниципальном районе на 2015-2017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2 776,6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2717,3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CA7FE2" w:rsidRPr="00DD57A1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B43E58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A7FE2" w:rsidRPr="004255C7" w:rsidRDefault="00CA7FE2" w:rsidP="00C657ED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Программа развития малого и среднего предпринимательства в </w:t>
            </w:r>
            <w:r>
              <w:rPr>
                <w:bCs/>
                <w:sz w:val="20"/>
                <w:szCs w:val="20"/>
              </w:rPr>
              <w:t>Альметьевском муниципальном районе на 2013-2016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B43E58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профилактики наркотизации населения в </w:t>
            </w:r>
            <w:r>
              <w:rPr>
                <w:sz w:val="20"/>
                <w:szCs w:val="20"/>
              </w:rPr>
              <w:t xml:space="preserve"> Альметьевском муниципальном районе на 2016 год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A7FE2" w:rsidRPr="000263D9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Default="00CA7FE2" w:rsidP="00C657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A7FE2" w:rsidRDefault="00CA7FE2" w:rsidP="00C657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«Реализация антикоррупционной политики в Альметьевском муниципальном районе на 2015-2020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495,7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354,1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B43E58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5119F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 профилактике терроризма и экстремизма в Альметьевском муниципальном районе Республики Татарстан на 2015-2017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5119F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62189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 xml:space="preserve">Муниципальная программа профилактики правонарушений в Альметьевском муниципальном районе </w:t>
            </w:r>
            <w:r>
              <w:rPr>
                <w:bCs/>
                <w:sz w:val="20"/>
                <w:szCs w:val="20"/>
              </w:rPr>
              <w:t>Республики Татарстан</w:t>
            </w:r>
            <w:r w:rsidRPr="00621892">
              <w:rPr>
                <w:bCs/>
                <w:sz w:val="20"/>
                <w:szCs w:val="20"/>
              </w:rPr>
              <w:t xml:space="preserve"> на 201</w:t>
            </w:r>
            <w:r>
              <w:rPr>
                <w:bCs/>
                <w:sz w:val="20"/>
                <w:szCs w:val="20"/>
              </w:rPr>
              <w:t>6</w:t>
            </w:r>
            <w:r w:rsidRPr="0062189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3682,0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3 624,7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1710,1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47,2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62189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 xml:space="preserve">Муниципальная программа «Пожарная безопасность </w:t>
            </w:r>
            <w:r w:rsidRPr="00621892">
              <w:rPr>
                <w:sz w:val="20"/>
                <w:szCs w:val="20"/>
              </w:rPr>
              <w:t>Альметьевского  муниципального района на 2014-2016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1 139,3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187,2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62189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 w:rsidRPr="00621892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Cs/>
                <w:sz w:val="20"/>
                <w:szCs w:val="20"/>
              </w:rPr>
              <w:t xml:space="preserve"> «Сохранение, изучение  и развитие государственных языков Республики Татарстан и других языков в Альметьевском муниципальном районе на 2015-2020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62189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F44900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 w:rsidRPr="00F44900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Повышение безопасности дорожного движения в Альметьевском муниципальном районе на 2016 год</w:t>
            </w:r>
            <w:r w:rsidRPr="00F449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4 309,0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4 309,0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4 309,0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F44900" w:rsidRDefault="00CA7FE2" w:rsidP="00C657ED">
            <w:pPr>
              <w:jc w:val="both"/>
              <w:rPr>
                <w:sz w:val="20"/>
                <w:szCs w:val="20"/>
              </w:rPr>
            </w:pPr>
            <w:r w:rsidRPr="00F44900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развития муниципальной службы Альметьевского муниципального района Республики Татарстан на 2014-2016 годы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1 170,0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1115,5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Default="00CA7FE2" w:rsidP="00C657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</w:tcPr>
          <w:p w:rsidR="00CA7FE2" w:rsidRPr="00F44900" w:rsidRDefault="00CA7FE2" w:rsidP="00C657ED">
            <w:pPr>
              <w:jc w:val="both"/>
              <w:rPr>
                <w:sz w:val="20"/>
                <w:szCs w:val="20"/>
              </w:rPr>
            </w:pPr>
            <w:r w:rsidRPr="00F44900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велосипедного движения и </w:t>
            </w:r>
            <w:proofErr w:type="spellStart"/>
            <w:r>
              <w:rPr>
                <w:sz w:val="20"/>
                <w:szCs w:val="20"/>
              </w:rPr>
              <w:t>велодорожной</w:t>
            </w:r>
            <w:proofErr w:type="spellEnd"/>
            <w:r>
              <w:rPr>
                <w:sz w:val="20"/>
                <w:szCs w:val="20"/>
              </w:rPr>
              <w:t xml:space="preserve"> инфраструктуры в Альметьевском муниципальном районе на 2016-2020 годы»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10 349,2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9 523,5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A7FE2" w:rsidRPr="00621892" w:rsidRDefault="00CA7FE2" w:rsidP="00C657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CA7FE2" w:rsidRPr="004B6326" w:rsidTr="00C657ED">
        <w:trPr>
          <w:trHeight w:val="312"/>
        </w:trPr>
        <w:tc>
          <w:tcPr>
            <w:tcW w:w="582" w:type="dxa"/>
            <w:shd w:val="clear" w:color="auto" w:fill="auto"/>
            <w:noWrap/>
          </w:tcPr>
          <w:p w:rsidR="00CA7FE2" w:rsidRPr="004B6326" w:rsidRDefault="00CA7FE2" w:rsidP="00C657E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CA7FE2" w:rsidRPr="001712B8" w:rsidRDefault="00CA7FE2" w:rsidP="00C657ED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276" w:type="dxa"/>
            <w:shd w:val="clear" w:color="auto" w:fill="auto"/>
            <w:noWrap/>
          </w:tcPr>
          <w:p w:rsidR="00CA7FE2" w:rsidRPr="001B4FE1" w:rsidRDefault="00CA7FE2" w:rsidP="00C657E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2 434 309,3</w:t>
            </w:r>
          </w:p>
        </w:tc>
        <w:tc>
          <w:tcPr>
            <w:tcW w:w="1418" w:type="dxa"/>
            <w:shd w:val="clear" w:color="auto" w:fill="auto"/>
            <w:noWrap/>
          </w:tcPr>
          <w:p w:rsidR="00CA7FE2" w:rsidRPr="00C95A9D" w:rsidRDefault="00CA7FE2" w:rsidP="00C657E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2 516 359,0</w:t>
            </w:r>
          </w:p>
        </w:tc>
        <w:tc>
          <w:tcPr>
            <w:tcW w:w="1275" w:type="dxa"/>
            <w:shd w:val="clear" w:color="auto" w:fill="auto"/>
            <w:noWrap/>
          </w:tcPr>
          <w:p w:rsidR="00CA7FE2" w:rsidRPr="00C95A9D" w:rsidRDefault="00CA7FE2" w:rsidP="00C657E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2 409 854,2</w:t>
            </w:r>
          </w:p>
        </w:tc>
        <w:tc>
          <w:tcPr>
            <w:tcW w:w="851" w:type="dxa"/>
            <w:shd w:val="clear" w:color="auto" w:fill="auto"/>
            <w:noWrap/>
          </w:tcPr>
          <w:p w:rsidR="00CA7FE2" w:rsidRPr="004B6326" w:rsidRDefault="00CA7FE2" w:rsidP="00C657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</w:tcPr>
          <w:p w:rsidR="00CA7FE2" w:rsidRPr="004B6326" w:rsidRDefault="00CA7FE2" w:rsidP="00C657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</w:tr>
    </w:tbl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 xml:space="preserve">      </w:t>
      </w:r>
    </w:p>
    <w:p w:rsidR="00CA7FE2" w:rsidRPr="00F85C3F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85C3F">
        <w:rPr>
          <w:sz w:val="28"/>
          <w:szCs w:val="28"/>
        </w:rPr>
        <w:t>В отчетном году в связи с не</w:t>
      </w:r>
      <w:r>
        <w:rPr>
          <w:sz w:val="28"/>
          <w:szCs w:val="28"/>
        </w:rPr>
        <w:t xml:space="preserve"> </w:t>
      </w:r>
      <w:r w:rsidRPr="00F85C3F">
        <w:rPr>
          <w:sz w:val="28"/>
          <w:szCs w:val="28"/>
        </w:rPr>
        <w:t>проведением отдельных программных мероприятий ниже утвержденных показателей исполнены расходы: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C3F">
        <w:rPr>
          <w:sz w:val="28"/>
          <w:szCs w:val="28"/>
        </w:rPr>
        <w:t>- по</w:t>
      </w:r>
      <w:r>
        <w:rPr>
          <w:sz w:val="28"/>
          <w:szCs w:val="28"/>
        </w:rPr>
        <w:t xml:space="preserve"> муниципальной п</w:t>
      </w:r>
      <w:r w:rsidRPr="009E6318">
        <w:rPr>
          <w:sz w:val="28"/>
          <w:szCs w:val="28"/>
        </w:rPr>
        <w:t xml:space="preserve">рограмме развития </w:t>
      </w:r>
      <w:r w:rsidRPr="00642CBA">
        <w:rPr>
          <w:sz w:val="28"/>
          <w:szCs w:val="28"/>
        </w:rPr>
        <w:t xml:space="preserve">дошкольного, начального общего, основного общего, среднего (полного) общего образования </w:t>
      </w:r>
      <w:r w:rsidRPr="00642CBA">
        <w:rPr>
          <w:bCs/>
          <w:sz w:val="28"/>
          <w:szCs w:val="28"/>
        </w:rPr>
        <w:t>Альметьевского муниципального района на 2015-2017 годы</w:t>
      </w:r>
      <w:r w:rsidRPr="009E631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94 903,0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 на 4,2%;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муниципальной программе «Развитие физической культуры и спорта в Альметьевском муниципальном районе на 2014-2016 годы» на 4 496,2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на 4,1%;</w:t>
      </w:r>
    </w:p>
    <w:p w:rsidR="005F13C9" w:rsidRDefault="005F13C9" w:rsidP="005F13C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</w:t>
      </w:r>
      <w:r w:rsidRPr="00FA345E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е</w:t>
      </w:r>
      <w:r w:rsidRPr="00FA345E">
        <w:rPr>
          <w:bCs/>
          <w:sz w:val="28"/>
          <w:szCs w:val="28"/>
        </w:rPr>
        <w:t xml:space="preserve"> профилактики правонарушений в Альметьевском муниципальном районе Р</w:t>
      </w:r>
      <w:r>
        <w:rPr>
          <w:bCs/>
          <w:sz w:val="28"/>
          <w:szCs w:val="28"/>
        </w:rPr>
        <w:t xml:space="preserve">еспублики </w:t>
      </w:r>
      <w:r w:rsidRPr="00FA345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атарстан</w:t>
      </w:r>
      <w:r w:rsidRPr="00FA345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2016</w:t>
      </w:r>
      <w:r w:rsidRPr="00FA345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на 1914,6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или 52,8%;</w:t>
      </w:r>
    </w:p>
    <w:p w:rsidR="005F13C9" w:rsidRDefault="005F13C9" w:rsidP="005F13C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FA345E">
        <w:rPr>
          <w:sz w:val="28"/>
          <w:szCs w:val="28"/>
        </w:rPr>
        <w:t>П</w:t>
      </w:r>
      <w:r w:rsidRPr="00FA345E">
        <w:rPr>
          <w:bCs/>
          <w:sz w:val="28"/>
          <w:szCs w:val="28"/>
        </w:rPr>
        <w:t xml:space="preserve">рограмме «Сохранение, изучение  и развитие </w:t>
      </w:r>
      <w:r>
        <w:rPr>
          <w:bCs/>
          <w:sz w:val="28"/>
          <w:szCs w:val="28"/>
        </w:rPr>
        <w:t xml:space="preserve">государственных </w:t>
      </w:r>
      <w:r w:rsidRPr="00FA345E">
        <w:rPr>
          <w:bCs/>
          <w:sz w:val="28"/>
          <w:szCs w:val="28"/>
        </w:rPr>
        <w:t xml:space="preserve">языков </w:t>
      </w:r>
      <w:r>
        <w:rPr>
          <w:bCs/>
          <w:sz w:val="28"/>
          <w:szCs w:val="28"/>
        </w:rPr>
        <w:t xml:space="preserve">Республики Татарстан и других языков </w:t>
      </w:r>
      <w:r w:rsidRPr="00FA345E">
        <w:rPr>
          <w:bCs/>
          <w:sz w:val="28"/>
          <w:szCs w:val="28"/>
        </w:rPr>
        <w:t>в Альметьевском муниципальном районе на 2015-2020 годы»</w:t>
      </w:r>
      <w:r>
        <w:rPr>
          <w:bCs/>
          <w:sz w:val="28"/>
          <w:szCs w:val="28"/>
        </w:rPr>
        <w:t xml:space="preserve"> на 1694,1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или на 91,6%;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муниципальной молодежной программе Альметьевского муниципального района на 2016-2020 годы на 1 176,3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на 1,5%;</w:t>
      </w:r>
    </w:p>
    <w:p w:rsidR="003E7EC4" w:rsidRPr="00F5485A" w:rsidRDefault="003E7EC4" w:rsidP="003E7E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485A">
        <w:rPr>
          <w:sz w:val="28"/>
          <w:szCs w:val="28"/>
        </w:rPr>
        <w:t xml:space="preserve">- по муниципальной программе «Развитие велосипедного движения и </w:t>
      </w:r>
      <w:proofErr w:type="spellStart"/>
      <w:r w:rsidRPr="00F5485A">
        <w:rPr>
          <w:sz w:val="28"/>
          <w:szCs w:val="28"/>
        </w:rPr>
        <w:t>велодорожной</w:t>
      </w:r>
      <w:proofErr w:type="spellEnd"/>
      <w:r w:rsidRPr="00F5485A">
        <w:rPr>
          <w:sz w:val="28"/>
          <w:szCs w:val="28"/>
        </w:rPr>
        <w:t xml:space="preserve"> инфраструктуры в Альметьевском муниципальном районе на 2016-2020 годы» на </w:t>
      </w:r>
      <w:r>
        <w:rPr>
          <w:sz w:val="28"/>
          <w:szCs w:val="28"/>
        </w:rPr>
        <w:t>825,7</w:t>
      </w:r>
      <w:r w:rsidRPr="00F5485A">
        <w:rPr>
          <w:sz w:val="28"/>
          <w:szCs w:val="28"/>
        </w:rPr>
        <w:t xml:space="preserve"> </w:t>
      </w:r>
      <w:proofErr w:type="spellStart"/>
      <w:r w:rsidRPr="00F5485A">
        <w:rPr>
          <w:sz w:val="28"/>
          <w:szCs w:val="28"/>
        </w:rPr>
        <w:t>тыс</w:t>
      </w:r>
      <w:proofErr w:type="gramStart"/>
      <w:r w:rsidRPr="00F5485A">
        <w:rPr>
          <w:sz w:val="28"/>
          <w:szCs w:val="28"/>
        </w:rPr>
        <w:t>.р</w:t>
      </w:r>
      <w:proofErr w:type="gramEnd"/>
      <w:r w:rsidRPr="00F5485A">
        <w:rPr>
          <w:sz w:val="28"/>
          <w:szCs w:val="28"/>
        </w:rPr>
        <w:t>уб</w:t>
      </w:r>
      <w:proofErr w:type="spellEnd"/>
      <w:r w:rsidRPr="00F5485A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8%.</w:t>
      </w:r>
    </w:p>
    <w:p w:rsidR="003E7EC4" w:rsidRDefault="003E7EC4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45E">
        <w:rPr>
          <w:bCs/>
          <w:sz w:val="28"/>
          <w:szCs w:val="28"/>
        </w:rPr>
        <w:t xml:space="preserve">по Программе «Пожарная безопасность </w:t>
      </w:r>
      <w:r w:rsidRPr="00FA345E">
        <w:rPr>
          <w:sz w:val="28"/>
          <w:szCs w:val="28"/>
        </w:rPr>
        <w:t>Альметьевского  муниципального района на 2014-2016 годы</w:t>
      </w:r>
      <w:r>
        <w:rPr>
          <w:sz w:val="28"/>
          <w:szCs w:val="28"/>
        </w:rPr>
        <w:t xml:space="preserve"> на 457,8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71%;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45E">
        <w:rPr>
          <w:sz w:val="28"/>
          <w:szCs w:val="28"/>
        </w:rPr>
        <w:t>по П</w:t>
      </w:r>
      <w:r w:rsidRPr="00FA345E">
        <w:rPr>
          <w:bCs/>
          <w:sz w:val="28"/>
          <w:szCs w:val="28"/>
        </w:rPr>
        <w:t xml:space="preserve">рограмме профилактики наркотизации населения в </w:t>
      </w:r>
      <w:r w:rsidRPr="00FA345E">
        <w:rPr>
          <w:sz w:val="28"/>
          <w:szCs w:val="28"/>
        </w:rPr>
        <w:t xml:space="preserve"> Альметьевском муниципальном районе на 20</w:t>
      </w:r>
      <w:r>
        <w:rPr>
          <w:sz w:val="28"/>
          <w:szCs w:val="28"/>
        </w:rPr>
        <w:t>16</w:t>
      </w:r>
      <w:r w:rsidRPr="00FA34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108,0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75%;</w:t>
      </w:r>
    </w:p>
    <w:p w:rsidR="003E7EC4" w:rsidRDefault="003E7EC4" w:rsidP="003E7E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598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муниципальной п</w:t>
      </w:r>
      <w:r>
        <w:rPr>
          <w:sz w:val="28"/>
          <w:szCs w:val="28"/>
        </w:rPr>
        <w:t>рограмме</w:t>
      </w:r>
      <w:r w:rsidRPr="00FA345E">
        <w:rPr>
          <w:sz w:val="28"/>
          <w:szCs w:val="28"/>
        </w:rPr>
        <w:t xml:space="preserve"> «Реализация государственной национальной политики в Альметьевском муниципальном районе на 2015-2017 годы»</w:t>
      </w:r>
      <w:r>
        <w:rPr>
          <w:sz w:val="28"/>
          <w:szCs w:val="28"/>
        </w:rPr>
        <w:t xml:space="preserve"> на 59,3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на 2,1%;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45E">
        <w:rPr>
          <w:sz w:val="28"/>
          <w:szCs w:val="28"/>
        </w:rPr>
        <w:t>по П</w:t>
      </w:r>
      <w:r w:rsidRPr="00FA345E">
        <w:rPr>
          <w:bCs/>
          <w:sz w:val="28"/>
          <w:szCs w:val="28"/>
        </w:rPr>
        <w:t>рограмме по профилактике терроризма и экстремизма в Альметьевском муниципальном районе Республики Татарстан на 2015-2017 годы</w:t>
      </w:r>
      <w:r>
        <w:rPr>
          <w:bCs/>
          <w:sz w:val="28"/>
          <w:szCs w:val="28"/>
        </w:rPr>
        <w:t xml:space="preserve"> на 55,0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или на 13%;</w:t>
      </w:r>
    </w:p>
    <w:p w:rsidR="00CA7FE2" w:rsidRPr="00F5485A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485A">
        <w:rPr>
          <w:bCs/>
          <w:sz w:val="28"/>
          <w:szCs w:val="28"/>
        </w:rPr>
        <w:t xml:space="preserve">- по муниципальной программе </w:t>
      </w:r>
      <w:r w:rsidRPr="00F5485A">
        <w:rPr>
          <w:sz w:val="28"/>
          <w:szCs w:val="28"/>
        </w:rPr>
        <w:t xml:space="preserve">развития муниципальной службы Альметьевского муниципального района Республики Татарстан на 2014-2016 годы на </w:t>
      </w:r>
      <w:r>
        <w:rPr>
          <w:sz w:val="28"/>
          <w:szCs w:val="28"/>
        </w:rPr>
        <w:t>54,5</w:t>
      </w:r>
      <w:r w:rsidRPr="00F5485A">
        <w:rPr>
          <w:sz w:val="28"/>
          <w:szCs w:val="28"/>
        </w:rPr>
        <w:t xml:space="preserve"> </w:t>
      </w:r>
      <w:proofErr w:type="spellStart"/>
      <w:r w:rsidRPr="00F5485A">
        <w:rPr>
          <w:sz w:val="28"/>
          <w:szCs w:val="28"/>
        </w:rPr>
        <w:t>тыс</w:t>
      </w:r>
      <w:proofErr w:type="gramStart"/>
      <w:r w:rsidRPr="00F5485A">
        <w:rPr>
          <w:sz w:val="28"/>
          <w:szCs w:val="28"/>
        </w:rPr>
        <w:t>.р</w:t>
      </w:r>
      <w:proofErr w:type="gramEnd"/>
      <w:r w:rsidRPr="00F5485A">
        <w:rPr>
          <w:sz w:val="28"/>
          <w:szCs w:val="28"/>
        </w:rPr>
        <w:t>уб</w:t>
      </w:r>
      <w:proofErr w:type="spellEnd"/>
      <w:r w:rsidRPr="00F5485A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4,6</w:t>
      </w:r>
      <w:r w:rsidR="003E7EC4">
        <w:rPr>
          <w:sz w:val="28"/>
          <w:szCs w:val="28"/>
        </w:rPr>
        <w:t>%.</w:t>
      </w:r>
    </w:p>
    <w:p w:rsidR="00CA7FE2" w:rsidRDefault="00CA7FE2" w:rsidP="00CA7FE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E7EC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</w:t>
      </w:r>
      <w:r w:rsidR="003E7EC4">
        <w:rPr>
          <w:bCs/>
          <w:sz w:val="28"/>
          <w:szCs w:val="28"/>
        </w:rPr>
        <w:t xml:space="preserve">ая </w:t>
      </w:r>
      <w:r>
        <w:rPr>
          <w:bCs/>
          <w:sz w:val="28"/>
          <w:szCs w:val="28"/>
        </w:rPr>
        <w:t>Программ</w:t>
      </w:r>
      <w:r w:rsidR="003E7E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67C2A">
        <w:rPr>
          <w:bCs/>
          <w:sz w:val="28"/>
          <w:szCs w:val="28"/>
        </w:rPr>
        <w:t>развития малого и среднего предпринимательства в Альметьевском муниципальном районе на 2013-2016 го</w:t>
      </w:r>
      <w:r>
        <w:rPr>
          <w:bCs/>
          <w:sz w:val="28"/>
          <w:szCs w:val="28"/>
        </w:rPr>
        <w:t>ды не исполнен</w:t>
      </w:r>
      <w:r w:rsidR="003E7EC4">
        <w:rPr>
          <w:bCs/>
          <w:sz w:val="28"/>
          <w:szCs w:val="28"/>
        </w:rPr>
        <w:t>а на</w:t>
      </w:r>
      <w:r>
        <w:rPr>
          <w:bCs/>
          <w:sz w:val="28"/>
          <w:szCs w:val="28"/>
        </w:rPr>
        <w:t xml:space="preserve"> 100%.</w:t>
      </w:r>
    </w:p>
    <w:p w:rsidR="00F86247" w:rsidRDefault="00576A80" w:rsidP="00B43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183">
        <w:rPr>
          <w:sz w:val="28"/>
          <w:szCs w:val="28"/>
        </w:rPr>
        <w:t xml:space="preserve"> </w:t>
      </w:r>
      <w:r w:rsidR="00F86247">
        <w:rPr>
          <w:sz w:val="28"/>
          <w:szCs w:val="28"/>
        </w:rPr>
        <w:t>По состоянию на 01.01.201</w:t>
      </w:r>
      <w:r w:rsidR="00E8641C">
        <w:rPr>
          <w:sz w:val="28"/>
          <w:szCs w:val="28"/>
        </w:rPr>
        <w:t>7</w:t>
      </w:r>
      <w:r w:rsidR="00F86247">
        <w:rPr>
          <w:sz w:val="28"/>
          <w:szCs w:val="28"/>
        </w:rPr>
        <w:t xml:space="preserve"> года кредиторская  задолженность по муниципальным  </w:t>
      </w:r>
      <w:r w:rsidR="007B5B64">
        <w:rPr>
          <w:sz w:val="28"/>
          <w:szCs w:val="28"/>
        </w:rPr>
        <w:t xml:space="preserve">организациям </w:t>
      </w:r>
      <w:r w:rsidR="00F86247">
        <w:rPr>
          <w:sz w:val="28"/>
          <w:szCs w:val="28"/>
        </w:rPr>
        <w:t xml:space="preserve">составляет –  </w:t>
      </w:r>
      <w:r w:rsidR="00CD56C1">
        <w:rPr>
          <w:sz w:val="28"/>
          <w:szCs w:val="28"/>
        </w:rPr>
        <w:t>31 625,7</w:t>
      </w:r>
      <w:r w:rsidR="00D655A3">
        <w:rPr>
          <w:sz w:val="28"/>
          <w:szCs w:val="28"/>
        </w:rPr>
        <w:t xml:space="preserve"> </w:t>
      </w:r>
      <w:proofErr w:type="spellStart"/>
      <w:r w:rsidR="00F86247">
        <w:rPr>
          <w:sz w:val="28"/>
          <w:szCs w:val="28"/>
        </w:rPr>
        <w:t>тыс</w:t>
      </w:r>
      <w:proofErr w:type="gramStart"/>
      <w:r w:rsidR="00F86247">
        <w:rPr>
          <w:sz w:val="28"/>
          <w:szCs w:val="28"/>
        </w:rPr>
        <w:t>.р</w:t>
      </w:r>
      <w:proofErr w:type="gramEnd"/>
      <w:r w:rsidR="00F86247">
        <w:rPr>
          <w:sz w:val="28"/>
          <w:szCs w:val="28"/>
        </w:rPr>
        <w:t>ублей</w:t>
      </w:r>
      <w:proofErr w:type="spellEnd"/>
      <w:r w:rsidR="003E7EC4">
        <w:rPr>
          <w:sz w:val="28"/>
          <w:szCs w:val="28"/>
        </w:rPr>
        <w:t xml:space="preserve">, по отношению к 2015 году кредиторская задолженность увеличилась на </w:t>
      </w:r>
      <w:r w:rsidR="00CD56C1">
        <w:rPr>
          <w:sz w:val="28"/>
          <w:szCs w:val="28"/>
        </w:rPr>
        <w:t>13 556,0</w:t>
      </w:r>
      <w:r w:rsidR="003E7EC4">
        <w:rPr>
          <w:sz w:val="28"/>
          <w:szCs w:val="28"/>
        </w:rPr>
        <w:t xml:space="preserve"> </w:t>
      </w:r>
      <w:proofErr w:type="spellStart"/>
      <w:r w:rsidR="003E7EC4">
        <w:rPr>
          <w:sz w:val="28"/>
          <w:szCs w:val="28"/>
        </w:rPr>
        <w:t>тыс.руб</w:t>
      </w:r>
      <w:proofErr w:type="spellEnd"/>
      <w:r w:rsidR="003E7EC4">
        <w:rPr>
          <w:sz w:val="28"/>
          <w:szCs w:val="28"/>
        </w:rPr>
        <w:t xml:space="preserve">. или на </w:t>
      </w:r>
      <w:r w:rsidR="00CD56C1">
        <w:rPr>
          <w:sz w:val="28"/>
          <w:szCs w:val="28"/>
        </w:rPr>
        <w:t>75</w:t>
      </w:r>
      <w:r w:rsidR="003E7EC4">
        <w:rPr>
          <w:sz w:val="28"/>
          <w:szCs w:val="28"/>
        </w:rPr>
        <w:t>%</w:t>
      </w:r>
      <w:r w:rsidR="00F86247">
        <w:rPr>
          <w:sz w:val="28"/>
          <w:szCs w:val="28"/>
        </w:rPr>
        <w:t>. (диаграмма 7)</w:t>
      </w:r>
    </w:p>
    <w:p w:rsidR="00F62482" w:rsidRDefault="00F62482" w:rsidP="00B4333B">
      <w:pPr>
        <w:spacing w:line="276" w:lineRule="auto"/>
        <w:jc w:val="both"/>
        <w:rPr>
          <w:sz w:val="28"/>
          <w:szCs w:val="28"/>
        </w:rPr>
      </w:pPr>
    </w:p>
    <w:p w:rsidR="001D6E89" w:rsidRDefault="001D6E89" w:rsidP="00B4333B">
      <w:pPr>
        <w:spacing w:line="276" w:lineRule="auto"/>
        <w:jc w:val="both"/>
        <w:rPr>
          <w:sz w:val="28"/>
          <w:szCs w:val="28"/>
        </w:rPr>
      </w:pPr>
    </w:p>
    <w:p w:rsidR="00634E9F" w:rsidRDefault="00634E9F" w:rsidP="00634E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Диаграмма 7</w:t>
      </w:r>
    </w:p>
    <w:p w:rsidR="00634E9F" w:rsidRDefault="00F86247" w:rsidP="00F86247">
      <w:pPr>
        <w:spacing w:line="276" w:lineRule="auto"/>
        <w:ind w:firstLine="720"/>
        <w:jc w:val="both"/>
        <w:rPr>
          <w:sz w:val="28"/>
          <w:szCs w:val="28"/>
        </w:rPr>
      </w:pPr>
      <w:r w:rsidRPr="00F86247">
        <w:rPr>
          <w:b/>
          <w:i/>
          <w:sz w:val="28"/>
          <w:szCs w:val="28"/>
        </w:rPr>
        <w:t>Структура кредиторской задолженности на начало 201</w:t>
      </w:r>
      <w:r w:rsidR="00E8641C">
        <w:rPr>
          <w:b/>
          <w:i/>
          <w:sz w:val="28"/>
          <w:szCs w:val="28"/>
        </w:rPr>
        <w:t>6</w:t>
      </w:r>
      <w:r w:rsidRPr="00F86247">
        <w:rPr>
          <w:b/>
          <w:i/>
          <w:sz w:val="28"/>
          <w:szCs w:val="28"/>
        </w:rPr>
        <w:t>г. и 201</w:t>
      </w:r>
      <w:r w:rsidR="00E8641C">
        <w:rPr>
          <w:b/>
          <w:i/>
          <w:sz w:val="28"/>
          <w:szCs w:val="28"/>
        </w:rPr>
        <w:t>7</w:t>
      </w:r>
      <w:r w:rsidRPr="00F86247">
        <w:rPr>
          <w:b/>
          <w:i/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4E9F">
        <w:rPr>
          <w:sz w:val="28"/>
          <w:szCs w:val="28"/>
        </w:rPr>
        <w:t xml:space="preserve">                                            </w:t>
      </w:r>
    </w:p>
    <w:p w:rsidR="00F86247" w:rsidRDefault="00634E9F" w:rsidP="00F8624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F86247">
        <w:rPr>
          <w:sz w:val="28"/>
          <w:szCs w:val="28"/>
        </w:rPr>
        <w:t>тыс</w:t>
      </w:r>
      <w:proofErr w:type="gramStart"/>
      <w:r w:rsidR="00F86247">
        <w:rPr>
          <w:sz w:val="28"/>
          <w:szCs w:val="28"/>
        </w:rPr>
        <w:t>.р</w:t>
      </w:r>
      <w:proofErr w:type="gramEnd"/>
      <w:r w:rsidR="00F86247">
        <w:rPr>
          <w:sz w:val="28"/>
          <w:szCs w:val="28"/>
        </w:rPr>
        <w:t>уб</w:t>
      </w:r>
      <w:proofErr w:type="spellEnd"/>
      <w:r w:rsidR="00F86247">
        <w:rPr>
          <w:sz w:val="28"/>
          <w:szCs w:val="28"/>
        </w:rPr>
        <w:t>.</w:t>
      </w:r>
    </w:p>
    <w:p w:rsidR="00F86247" w:rsidRDefault="00F86247" w:rsidP="00F86247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1740" cy="321564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2482" w:rsidRDefault="00F62482" w:rsidP="00053FC4">
      <w:pPr>
        <w:spacing w:line="276" w:lineRule="auto"/>
        <w:ind w:firstLine="720"/>
        <w:jc w:val="both"/>
        <w:rPr>
          <w:sz w:val="28"/>
          <w:szCs w:val="28"/>
        </w:rPr>
      </w:pPr>
    </w:p>
    <w:p w:rsidR="00B46CAE" w:rsidRPr="003F4D44" w:rsidRDefault="00B46CAE" w:rsidP="00053FC4">
      <w:pPr>
        <w:spacing w:line="276" w:lineRule="auto"/>
        <w:ind w:firstLine="720"/>
        <w:jc w:val="both"/>
        <w:rPr>
          <w:sz w:val="28"/>
          <w:szCs w:val="28"/>
        </w:rPr>
      </w:pPr>
      <w:r w:rsidRPr="003F4D44">
        <w:rPr>
          <w:sz w:val="28"/>
          <w:szCs w:val="28"/>
        </w:rPr>
        <w:t xml:space="preserve">Сложившаяся кредиторская задолженность по принятым обязательствам на сумму </w:t>
      </w:r>
      <w:r w:rsidR="00A11F72">
        <w:rPr>
          <w:sz w:val="28"/>
          <w:szCs w:val="28"/>
        </w:rPr>
        <w:t>31 625,7</w:t>
      </w:r>
      <w:r w:rsidRPr="003F4D44">
        <w:rPr>
          <w:sz w:val="28"/>
          <w:szCs w:val="28"/>
        </w:rPr>
        <w:t xml:space="preserve"> тыс. рублей подлежит оплате за счет средств бюджета следующих периодов. Основными кредиторами являются поставщики </w:t>
      </w:r>
      <w:r w:rsidR="003E7EC4" w:rsidRPr="003F4D44">
        <w:rPr>
          <w:sz w:val="28"/>
          <w:szCs w:val="28"/>
        </w:rPr>
        <w:t>основных средств</w:t>
      </w:r>
      <w:r w:rsidR="003E7EC4">
        <w:rPr>
          <w:sz w:val="28"/>
          <w:szCs w:val="28"/>
        </w:rPr>
        <w:t>,</w:t>
      </w:r>
      <w:r w:rsidR="003E7EC4" w:rsidRPr="003F4D44">
        <w:rPr>
          <w:sz w:val="28"/>
          <w:szCs w:val="28"/>
        </w:rPr>
        <w:t xml:space="preserve"> </w:t>
      </w:r>
      <w:r w:rsidR="00F62482">
        <w:rPr>
          <w:sz w:val="28"/>
          <w:szCs w:val="28"/>
        </w:rPr>
        <w:t xml:space="preserve">материальных запасов, </w:t>
      </w:r>
      <w:r w:rsidR="003F4D44" w:rsidRPr="003F4D44">
        <w:rPr>
          <w:sz w:val="28"/>
          <w:szCs w:val="28"/>
        </w:rPr>
        <w:t xml:space="preserve">коммунальных </w:t>
      </w:r>
      <w:r w:rsidRPr="003F4D44">
        <w:rPr>
          <w:sz w:val="28"/>
          <w:szCs w:val="28"/>
        </w:rPr>
        <w:t>услуг</w:t>
      </w:r>
      <w:r w:rsidR="003F4D44" w:rsidRPr="003F4D44">
        <w:rPr>
          <w:sz w:val="28"/>
          <w:szCs w:val="28"/>
        </w:rPr>
        <w:t>, услуг</w:t>
      </w:r>
      <w:r w:rsidR="003E7EC4">
        <w:rPr>
          <w:sz w:val="28"/>
          <w:szCs w:val="28"/>
        </w:rPr>
        <w:t xml:space="preserve"> по содержанию имущества</w:t>
      </w:r>
      <w:r w:rsidRPr="003F4D44">
        <w:rPr>
          <w:sz w:val="28"/>
          <w:szCs w:val="28"/>
        </w:rPr>
        <w:t xml:space="preserve">. </w:t>
      </w:r>
    </w:p>
    <w:p w:rsidR="00AA4E91" w:rsidRPr="003472F3" w:rsidRDefault="00210D27" w:rsidP="00053F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72F3">
        <w:rPr>
          <w:sz w:val="26"/>
          <w:szCs w:val="26"/>
        </w:rPr>
        <w:t xml:space="preserve">          </w:t>
      </w:r>
      <w:r w:rsidRPr="003472F3">
        <w:rPr>
          <w:sz w:val="28"/>
          <w:szCs w:val="28"/>
        </w:rPr>
        <w:t>В 201</w:t>
      </w:r>
      <w:r w:rsidR="003F4D44" w:rsidRPr="003472F3">
        <w:rPr>
          <w:sz w:val="28"/>
          <w:szCs w:val="28"/>
        </w:rPr>
        <w:t>6</w:t>
      </w:r>
      <w:r w:rsidRPr="003472F3">
        <w:rPr>
          <w:sz w:val="28"/>
          <w:szCs w:val="28"/>
        </w:rPr>
        <w:t xml:space="preserve"> году общий объем расходов, произведенных в счет платежей (переплат) следующего финансового года, составил </w:t>
      </w:r>
      <w:r w:rsidR="003472F3" w:rsidRPr="003472F3">
        <w:rPr>
          <w:sz w:val="28"/>
          <w:szCs w:val="28"/>
        </w:rPr>
        <w:t>41,2</w:t>
      </w:r>
      <w:r w:rsidRPr="003472F3">
        <w:rPr>
          <w:sz w:val="28"/>
          <w:szCs w:val="28"/>
        </w:rPr>
        <w:t xml:space="preserve"> тыс. рублей, в том числе: по страховым взносам на обязательное социальное страхование, на медицинское и пенсионное страхование  –  </w:t>
      </w:r>
      <w:r w:rsidR="003472F3" w:rsidRPr="003472F3">
        <w:rPr>
          <w:sz w:val="28"/>
          <w:szCs w:val="28"/>
        </w:rPr>
        <w:t>31,5</w:t>
      </w:r>
      <w:r w:rsidR="00AA4E91" w:rsidRPr="003472F3">
        <w:rPr>
          <w:sz w:val="28"/>
          <w:szCs w:val="28"/>
        </w:rPr>
        <w:t xml:space="preserve"> </w:t>
      </w:r>
      <w:proofErr w:type="spellStart"/>
      <w:r w:rsidRPr="003472F3">
        <w:rPr>
          <w:sz w:val="28"/>
          <w:szCs w:val="28"/>
        </w:rPr>
        <w:t>тыс</w:t>
      </w:r>
      <w:proofErr w:type="gramStart"/>
      <w:r w:rsidRPr="003472F3">
        <w:rPr>
          <w:sz w:val="28"/>
          <w:szCs w:val="28"/>
        </w:rPr>
        <w:t>.р</w:t>
      </w:r>
      <w:proofErr w:type="gramEnd"/>
      <w:r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>.</w:t>
      </w:r>
    </w:p>
    <w:p w:rsidR="00210D27" w:rsidRPr="003472F3" w:rsidRDefault="00210D27" w:rsidP="00053F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472F3">
        <w:rPr>
          <w:sz w:val="28"/>
          <w:szCs w:val="28"/>
        </w:rPr>
        <w:t xml:space="preserve">         В сравнении с предыдущим годом объем переплат бюджетополучателями </w:t>
      </w:r>
      <w:proofErr w:type="gramStart"/>
      <w:r w:rsidRPr="003472F3">
        <w:rPr>
          <w:sz w:val="28"/>
          <w:szCs w:val="28"/>
        </w:rPr>
        <w:t>по</w:t>
      </w:r>
      <w:proofErr w:type="gramEnd"/>
    </w:p>
    <w:p w:rsidR="00210D27" w:rsidRPr="003472F3" w:rsidRDefault="00210D27" w:rsidP="00053FC4">
      <w:pPr>
        <w:spacing w:line="276" w:lineRule="auto"/>
        <w:jc w:val="both"/>
        <w:rPr>
          <w:sz w:val="28"/>
          <w:szCs w:val="28"/>
        </w:rPr>
      </w:pPr>
      <w:r w:rsidRPr="003472F3">
        <w:rPr>
          <w:sz w:val="28"/>
          <w:szCs w:val="28"/>
        </w:rPr>
        <w:t>н</w:t>
      </w:r>
      <w:r w:rsidR="00AA4E91" w:rsidRPr="003472F3">
        <w:rPr>
          <w:sz w:val="28"/>
          <w:szCs w:val="28"/>
        </w:rPr>
        <w:t xml:space="preserve">алоговым платежам уменьшился на </w:t>
      </w:r>
      <w:r w:rsidR="003472F3" w:rsidRPr="003472F3">
        <w:rPr>
          <w:sz w:val="28"/>
          <w:szCs w:val="28"/>
        </w:rPr>
        <w:t>542,1</w:t>
      </w:r>
      <w:r w:rsidR="00AA4E91" w:rsidRPr="003472F3">
        <w:rPr>
          <w:sz w:val="28"/>
          <w:szCs w:val="28"/>
        </w:rPr>
        <w:t xml:space="preserve"> </w:t>
      </w:r>
      <w:proofErr w:type="spellStart"/>
      <w:r w:rsidR="00AA4E91" w:rsidRPr="003472F3">
        <w:rPr>
          <w:sz w:val="28"/>
          <w:szCs w:val="28"/>
        </w:rPr>
        <w:t>тыс</w:t>
      </w:r>
      <w:proofErr w:type="gramStart"/>
      <w:r w:rsidR="00AA4E91" w:rsidRPr="003472F3">
        <w:rPr>
          <w:sz w:val="28"/>
          <w:szCs w:val="28"/>
        </w:rPr>
        <w:t>.р</w:t>
      </w:r>
      <w:proofErr w:type="gramEnd"/>
      <w:r w:rsidR="00AA4E91" w:rsidRPr="003472F3">
        <w:rPr>
          <w:sz w:val="28"/>
          <w:szCs w:val="28"/>
        </w:rPr>
        <w:t>уб</w:t>
      </w:r>
      <w:proofErr w:type="spellEnd"/>
      <w:r w:rsidR="00AA4E91" w:rsidRPr="003472F3">
        <w:rPr>
          <w:sz w:val="28"/>
          <w:szCs w:val="28"/>
        </w:rPr>
        <w:t xml:space="preserve">. или на </w:t>
      </w:r>
      <w:r w:rsidR="003472F3" w:rsidRPr="003472F3">
        <w:rPr>
          <w:sz w:val="28"/>
          <w:szCs w:val="28"/>
        </w:rPr>
        <w:t>92,9</w:t>
      </w:r>
      <w:r w:rsidR="00AA4E91" w:rsidRPr="003472F3">
        <w:rPr>
          <w:sz w:val="28"/>
          <w:szCs w:val="28"/>
        </w:rPr>
        <w:t>%.</w:t>
      </w:r>
    </w:p>
    <w:p w:rsidR="00F62482" w:rsidRDefault="00210D27" w:rsidP="00F86247">
      <w:pPr>
        <w:spacing w:line="276" w:lineRule="auto"/>
        <w:jc w:val="both"/>
        <w:rPr>
          <w:sz w:val="28"/>
          <w:szCs w:val="28"/>
        </w:rPr>
      </w:pPr>
      <w:r w:rsidRPr="003472F3">
        <w:rPr>
          <w:sz w:val="28"/>
          <w:szCs w:val="28"/>
        </w:rPr>
        <w:t xml:space="preserve">         </w:t>
      </w:r>
      <w:r w:rsidR="00AD4861" w:rsidRPr="003472F3">
        <w:rPr>
          <w:sz w:val="28"/>
          <w:szCs w:val="28"/>
        </w:rPr>
        <w:t>По состоянию на 01.01.201</w:t>
      </w:r>
      <w:r w:rsidR="00B6068A" w:rsidRPr="003472F3">
        <w:rPr>
          <w:sz w:val="28"/>
          <w:szCs w:val="28"/>
        </w:rPr>
        <w:t>7</w:t>
      </w:r>
      <w:r w:rsidR="00AD4861" w:rsidRPr="003472F3">
        <w:rPr>
          <w:sz w:val="28"/>
          <w:szCs w:val="28"/>
        </w:rPr>
        <w:t xml:space="preserve"> года дебиторская задолженность по муниципальным казенным учреждениям составляет </w:t>
      </w:r>
      <w:r w:rsidR="005F78A1" w:rsidRPr="003472F3">
        <w:rPr>
          <w:sz w:val="28"/>
          <w:szCs w:val="28"/>
        </w:rPr>
        <w:t>–</w:t>
      </w:r>
      <w:r w:rsidR="00AD4861" w:rsidRPr="003472F3">
        <w:rPr>
          <w:sz w:val="28"/>
          <w:szCs w:val="28"/>
        </w:rPr>
        <w:t xml:space="preserve"> </w:t>
      </w:r>
      <w:r w:rsidR="005408A4" w:rsidRPr="003472F3">
        <w:rPr>
          <w:sz w:val="28"/>
          <w:szCs w:val="28"/>
        </w:rPr>
        <w:t xml:space="preserve"> </w:t>
      </w:r>
      <w:r w:rsidR="00B6068A" w:rsidRPr="003472F3">
        <w:rPr>
          <w:sz w:val="28"/>
          <w:szCs w:val="28"/>
        </w:rPr>
        <w:t>319,0</w:t>
      </w:r>
      <w:r w:rsidR="00AA4E91" w:rsidRPr="003472F3">
        <w:rPr>
          <w:sz w:val="28"/>
          <w:szCs w:val="28"/>
        </w:rPr>
        <w:t xml:space="preserve"> </w:t>
      </w:r>
      <w:proofErr w:type="spellStart"/>
      <w:r w:rsidR="00AD4861" w:rsidRPr="003472F3">
        <w:rPr>
          <w:sz w:val="28"/>
          <w:szCs w:val="28"/>
        </w:rPr>
        <w:t>тыс</w:t>
      </w:r>
      <w:proofErr w:type="gramStart"/>
      <w:r w:rsidR="00AD4861" w:rsidRPr="003472F3">
        <w:rPr>
          <w:sz w:val="28"/>
          <w:szCs w:val="28"/>
        </w:rPr>
        <w:t>.р</w:t>
      </w:r>
      <w:proofErr w:type="gramEnd"/>
      <w:r w:rsidR="00AD4861" w:rsidRPr="003472F3">
        <w:rPr>
          <w:sz w:val="28"/>
          <w:szCs w:val="28"/>
        </w:rPr>
        <w:t>уб</w:t>
      </w:r>
      <w:proofErr w:type="spellEnd"/>
      <w:r w:rsidRPr="003472F3">
        <w:rPr>
          <w:sz w:val="28"/>
          <w:szCs w:val="28"/>
        </w:rPr>
        <w:t xml:space="preserve">. </w:t>
      </w:r>
      <w:r w:rsidR="00F86247" w:rsidRPr="003472F3">
        <w:rPr>
          <w:sz w:val="28"/>
          <w:szCs w:val="28"/>
        </w:rPr>
        <w:t xml:space="preserve"> </w:t>
      </w:r>
      <w:r w:rsidR="005314CC" w:rsidRPr="003472F3">
        <w:rPr>
          <w:sz w:val="28"/>
          <w:szCs w:val="28"/>
        </w:rPr>
        <w:t xml:space="preserve">(диаграмма </w:t>
      </w:r>
      <w:r w:rsidR="00763183" w:rsidRPr="003472F3">
        <w:rPr>
          <w:sz w:val="28"/>
          <w:szCs w:val="28"/>
        </w:rPr>
        <w:t>8</w:t>
      </w:r>
      <w:r w:rsidR="005314CC" w:rsidRPr="003472F3">
        <w:rPr>
          <w:sz w:val="28"/>
          <w:szCs w:val="28"/>
        </w:rPr>
        <w:t>)</w:t>
      </w:r>
      <w:r w:rsidR="00AD4861" w:rsidRPr="003472F3">
        <w:rPr>
          <w:sz w:val="28"/>
          <w:szCs w:val="28"/>
        </w:rPr>
        <w:t>.</w:t>
      </w:r>
      <w:r w:rsidR="00E81640" w:rsidRPr="003472F3">
        <w:rPr>
          <w:sz w:val="28"/>
          <w:szCs w:val="28"/>
        </w:rPr>
        <w:t xml:space="preserve">        </w:t>
      </w:r>
    </w:p>
    <w:p w:rsidR="009719FF" w:rsidRDefault="00E81640" w:rsidP="00F86247">
      <w:pPr>
        <w:spacing w:line="276" w:lineRule="auto"/>
        <w:jc w:val="both"/>
        <w:rPr>
          <w:sz w:val="28"/>
          <w:szCs w:val="28"/>
        </w:rPr>
      </w:pPr>
      <w:r w:rsidRPr="003472F3">
        <w:rPr>
          <w:sz w:val="28"/>
          <w:szCs w:val="28"/>
        </w:rPr>
        <w:t xml:space="preserve">                                                                                  </w:t>
      </w:r>
      <w:r w:rsidR="00210D27" w:rsidRPr="003472F3">
        <w:rPr>
          <w:sz w:val="28"/>
          <w:szCs w:val="28"/>
        </w:rPr>
        <w:t xml:space="preserve">           </w:t>
      </w:r>
      <w:r w:rsidR="00933E2F" w:rsidRPr="003472F3">
        <w:rPr>
          <w:sz w:val="28"/>
          <w:szCs w:val="28"/>
        </w:rPr>
        <w:t xml:space="preserve">       </w:t>
      </w:r>
    </w:p>
    <w:p w:rsidR="00E81640" w:rsidRDefault="009719FF" w:rsidP="00F8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33E2F" w:rsidRPr="003472F3">
        <w:rPr>
          <w:sz w:val="28"/>
          <w:szCs w:val="28"/>
        </w:rPr>
        <w:t xml:space="preserve">     </w:t>
      </w:r>
      <w:r w:rsidR="00210D27" w:rsidRPr="003472F3">
        <w:rPr>
          <w:sz w:val="28"/>
          <w:szCs w:val="28"/>
        </w:rPr>
        <w:t xml:space="preserve"> </w:t>
      </w:r>
      <w:r w:rsidR="00E81640" w:rsidRPr="003472F3">
        <w:rPr>
          <w:sz w:val="28"/>
          <w:szCs w:val="28"/>
        </w:rPr>
        <w:t xml:space="preserve">Диаграмма </w:t>
      </w:r>
      <w:r w:rsidR="00763183" w:rsidRPr="003472F3">
        <w:rPr>
          <w:sz w:val="28"/>
          <w:szCs w:val="28"/>
        </w:rPr>
        <w:t>8</w:t>
      </w:r>
    </w:p>
    <w:p w:rsidR="00763183" w:rsidRPr="00B6068A" w:rsidRDefault="00763183" w:rsidP="00763183">
      <w:pPr>
        <w:ind w:firstLine="720"/>
        <w:jc w:val="center"/>
        <w:rPr>
          <w:b/>
          <w:i/>
          <w:sz w:val="28"/>
          <w:szCs w:val="28"/>
        </w:rPr>
      </w:pPr>
      <w:r w:rsidRPr="00B6068A">
        <w:rPr>
          <w:b/>
          <w:i/>
          <w:sz w:val="28"/>
          <w:szCs w:val="28"/>
        </w:rPr>
        <w:t xml:space="preserve">Структура и динамика дебиторской задолженности </w:t>
      </w:r>
    </w:p>
    <w:p w:rsidR="00763183" w:rsidRDefault="00763183" w:rsidP="00933E2F">
      <w:pPr>
        <w:ind w:firstLine="720"/>
        <w:jc w:val="center"/>
        <w:rPr>
          <w:b/>
          <w:i/>
          <w:sz w:val="28"/>
          <w:szCs w:val="28"/>
        </w:rPr>
      </w:pPr>
      <w:r w:rsidRPr="00B6068A">
        <w:rPr>
          <w:b/>
          <w:i/>
          <w:sz w:val="28"/>
          <w:szCs w:val="28"/>
        </w:rPr>
        <w:t>на начало 201</w:t>
      </w:r>
      <w:r w:rsidR="00803C1D">
        <w:rPr>
          <w:b/>
          <w:i/>
          <w:sz w:val="28"/>
          <w:szCs w:val="28"/>
        </w:rPr>
        <w:t>6</w:t>
      </w:r>
      <w:r w:rsidRPr="00B6068A">
        <w:rPr>
          <w:b/>
          <w:i/>
          <w:sz w:val="28"/>
          <w:szCs w:val="28"/>
        </w:rPr>
        <w:t>г. и 201</w:t>
      </w:r>
      <w:r w:rsidR="00803C1D">
        <w:rPr>
          <w:b/>
          <w:i/>
          <w:sz w:val="28"/>
          <w:szCs w:val="28"/>
        </w:rPr>
        <w:t>7</w:t>
      </w:r>
      <w:r w:rsidRPr="00B6068A">
        <w:rPr>
          <w:b/>
          <w:i/>
          <w:sz w:val="28"/>
          <w:szCs w:val="28"/>
        </w:rPr>
        <w:t>г.</w:t>
      </w:r>
    </w:p>
    <w:p w:rsidR="00B13844" w:rsidRPr="00763183" w:rsidRDefault="00B13844" w:rsidP="00933E2F">
      <w:pPr>
        <w:ind w:firstLine="720"/>
        <w:jc w:val="center"/>
        <w:rPr>
          <w:b/>
          <w:i/>
          <w:sz w:val="28"/>
          <w:szCs w:val="28"/>
        </w:rPr>
      </w:pPr>
    </w:p>
    <w:p w:rsidR="00E80CB2" w:rsidRPr="00CC4A51" w:rsidRDefault="00E81640" w:rsidP="00933E2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0CB2" w:rsidRDefault="00E81640" w:rsidP="00B51854">
      <w:pPr>
        <w:spacing w:line="276" w:lineRule="auto"/>
        <w:jc w:val="both"/>
        <w:rPr>
          <w:sz w:val="28"/>
          <w:szCs w:val="28"/>
        </w:rPr>
      </w:pPr>
      <w:r w:rsidRPr="00E81640">
        <w:rPr>
          <w:noProof/>
          <w:color w:val="00B050"/>
        </w:rPr>
        <w:lastRenderedPageBreak/>
        <w:drawing>
          <wp:inline distT="0" distB="0" distL="0" distR="0" wp14:anchorId="741257AF" wp14:editId="7EBAC424">
            <wp:extent cx="6381750" cy="3705225"/>
            <wp:effectExtent l="0" t="0" r="19050" b="9525"/>
            <wp:docPr id="950" name="Диаграмма 9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439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475F2" wp14:editId="6C3D8DBE">
                <wp:simplePos x="0" y="0"/>
                <wp:positionH relativeFrom="column">
                  <wp:posOffset>47625</wp:posOffset>
                </wp:positionH>
                <wp:positionV relativeFrom="paragraph">
                  <wp:posOffset>2219324</wp:posOffset>
                </wp:positionV>
                <wp:extent cx="333375" cy="302895"/>
                <wp:effectExtent l="0" t="0" r="9525" b="1905"/>
                <wp:wrapNone/>
                <wp:docPr id="78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043" w:rsidRPr="00301B40" w:rsidRDefault="007D4043" w:rsidP="00E816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6" style="position:absolute;left:0;text-align:left;margin-left:3.75pt;margin-top:174.75pt;width:26.2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" filled="f" stroked="f">
                <v:textbox inset="0,0,0,0">
                  <w:txbxContent>
                    <w:p w:rsidR="00BB798C" w:rsidRPr="00301B40" w:rsidRDefault="00BB798C" w:rsidP="00E81640"/>
                  </w:txbxContent>
                </v:textbox>
              </v:rect>
            </w:pict>
          </mc:Fallback>
        </mc:AlternateContent>
      </w:r>
      <w:r w:rsidR="0084394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57591" wp14:editId="388BF2D3">
                <wp:simplePos x="0" y="0"/>
                <wp:positionH relativeFrom="column">
                  <wp:posOffset>-2763520</wp:posOffset>
                </wp:positionH>
                <wp:positionV relativeFrom="paragraph">
                  <wp:posOffset>157480</wp:posOffset>
                </wp:positionV>
                <wp:extent cx="71120" cy="117475"/>
                <wp:effectExtent l="17780" t="24130" r="25400" b="10795"/>
                <wp:wrapNone/>
                <wp:docPr id="1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" cy="117475"/>
                        </a:xfrm>
                        <a:custGeom>
                          <a:avLst/>
                          <a:gdLst>
                            <a:gd name="T0" fmla="*/ 37 w 112"/>
                            <a:gd name="T1" fmla="*/ 185 h 185"/>
                            <a:gd name="T2" fmla="*/ 37 w 112"/>
                            <a:gd name="T3" fmla="*/ 74 h 185"/>
                            <a:gd name="T4" fmla="*/ 75 w 112"/>
                            <a:gd name="T5" fmla="*/ 74 h 185"/>
                            <a:gd name="T6" fmla="*/ 75 w 112"/>
                            <a:gd name="T7" fmla="*/ 185 h 185"/>
                            <a:gd name="T8" fmla="*/ 37 w 112"/>
                            <a:gd name="T9" fmla="*/ 185 h 185"/>
                            <a:gd name="T10" fmla="*/ 56 w 112"/>
                            <a:gd name="T11" fmla="*/ 74 h 185"/>
                            <a:gd name="T12" fmla="*/ 0 w 112"/>
                            <a:gd name="T13" fmla="*/ 112 h 185"/>
                            <a:gd name="T14" fmla="*/ 56 w 112"/>
                            <a:gd name="T15" fmla="*/ 0 h 185"/>
                            <a:gd name="T16" fmla="*/ 112 w 112"/>
                            <a:gd name="T17" fmla="*/ 112 h 185"/>
                            <a:gd name="T18" fmla="*/ 56 w 112"/>
                            <a:gd name="T19" fmla="*/ 7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" h="185">
                              <a:moveTo>
                                <a:pt x="37" y="185"/>
                              </a:moveTo>
                              <a:lnTo>
                                <a:pt x="37" y="74"/>
                              </a:lnTo>
                              <a:lnTo>
                                <a:pt x="75" y="74"/>
                              </a:lnTo>
                              <a:lnTo>
                                <a:pt x="75" y="185"/>
                              </a:lnTo>
                              <a:lnTo>
                                <a:pt x="37" y="185"/>
                              </a:lnTo>
                              <a:close/>
                              <a:moveTo>
                                <a:pt x="56" y="74"/>
                              </a:moveTo>
                              <a:lnTo>
                                <a:pt x="0" y="112"/>
                              </a:lnTo>
                              <a:lnTo>
                                <a:pt x="56" y="0"/>
                              </a:lnTo>
                              <a:lnTo>
                                <a:pt x="112" y="112"/>
                              </a:lnTo>
                              <a:lnTo>
                                <a:pt x="5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" cap="flat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9" o:spid="_x0000_s1026" style="position:absolute;margin-left:-217.6pt;margin-top:12.4pt;width:5.6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" path="m37,185l37,74r38,l75,185r-38,xm56,74l,112,56,r56,112l56,74xe" fillcolor="red" strokecolor="red" strokeweight=".1pt">
                <v:stroke joinstyle="bevel"/>
                <v:path arrowok="t" o:connecttype="custom" o:connectlocs="23495,117475;23495,46990;47625,46990;47625,117475;23495,117475;35560,46990;0,71120;35560,0;71120,71120;35560,46990" o:connectangles="0,0,0,0,0,0,0,0,0,0"/>
                <o:lock v:ext="edit" verticies="t"/>
              </v:shape>
            </w:pict>
          </mc:Fallback>
        </mc:AlternateContent>
      </w:r>
    </w:p>
    <w:p w:rsidR="00E81640" w:rsidRDefault="00E81640" w:rsidP="00B51854">
      <w:pPr>
        <w:spacing w:line="276" w:lineRule="auto"/>
        <w:ind w:firstLine="540"/>
        <w:jc w:val="both"/>
        <w:rPr>
          <w:sz w:val="28"/>
          <w:szCs w:val="28"/>
        </w:rPr>
      </w:pPr>
    </w:p>
    <w:p w:rsidR="00E80CB2" w:rsidRPr="00B6068A" w:rsidRDefault="00763183" w:rsidP="00B5185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068A">
        <w:rPr>
          <w:sz w:val="28"/>
          <w:szCs w:val="28"/>
        </w:rPr>
        <w:t xml:space="preserve">Дебиторская задолженность по муниципальным учреждениям в отчетном году снизилась на </w:t>
      </w:r>
      <w:r w:rsidR="00A20B19">
        <w:rPr>
          <w:sz w:val="28"/>
          <w:szCs w:val="28"/>
        </w:rPr>
        <w:t>27 044,9</w:t>
      </w:r>
      <w:r w:rsidR="00B6068A">
        <w:rPr>
          <w:sz w:val="28"/>
          <w:szCs w:val="28"/>
        </w:rPr>
        <w:t xml:space="preserve"> </w:t>
      </w:r>
      <w:proofErr w:type="spellStart"/>
      <w:r w:rsidR="00B6068A">
        <w:rPr>
          <w:sz w:val="28"/>
          <w:szCs w:val="28"/>
        </w:rPr>
        <w:t>тыс</w:t>
      </w:r>
      <w:proofErr w:type="gramStart"/>
      <w:r w:rsidR="00B6068A">
        <w:rPr>
          <w:sz w:val="28"/>
          <w:szCs w:val="28"/>
        </w:rPr>
        <w:t>.р</w:t>
      </w:r>
      <w:proofErr w:type="gramEnd"/>
      <w:r w:rsidR="00B6068A">
        <w:rPr>
          <w:sz w:val="28"/>
          <w:szCs w:val="28"/>
        </w:rPr>
        <w:t>уб</w:t>
      </w:r>
      <w:proofErr w:type="spellEnd"/>
      <w:r w:rsidR="00B6068A">
        <w:rPr>
          <w:sz w:val="28"/>
          <w:szCs w:val="28"/>
        </w:rPr>
        <w:t>.</w:t>
      </w:r>
      <w:r w:rsidR="00A20B19">
        <w:rPr>
          <w:sz w:val="28"/>
          <w:szCs w:val="28"/>
        </w:rPr>
        <w:t xml:space="preserve"> или на 82,5%</w:t>
      </w:r>
      <w:r w:rsidR="00B6068A">
        <w:rPr>
          <w:sz w:val="28"/>
          <w:szCs w:val="28"/>
        </w:rPr>
        <w:t xml:space="preserve"> </w:t>
      </w:r>
      <w:r w:rsidR="00B6068A" w:rsidRPr="00B6068A">
        <w:rPr>
          <w:sz w:val="28"/>
          <w:szCs w:val="28"/>
        </w:rPr>
        <w:t>Снижение</w:t>
      </w:r>
      <w:r w:rsidR="00E80CB2" w:rsidRPr="00B6068A">
        <w:rPr>
          <w:sz w:val="28"/>
          <w:szCs w:val="28"/>
        </w:rPr>
        <w:t xml:space="preserve"> общей суммы дебиторской задолженности в целом связано с у</w:t>
      </w:r>
      <w:r w:rsidR="00B6068A" w:rsidRPr="00B6068A">
        <w:rPr>
          <w:sz w:val="28"/>
          <w:szCs w:val="28"/>
        </w:rPr>
        <w:t>меньшением</w:t>
      </w:r>
      <w:r w:rsidR="00E80CB2" w:rsidRPr="00B6068A">
        <w:rPr>
          <w:sz w:val="28"/>
          <w:szCs w:val="28"/>
        </w:rPr>
        <w:t xml:space="preserve"> </w:t>
      </w:r>
      <w:r w:rsidR="00A20B19">
        <w:rPr>
          <w:sz w:val="28"/>
          <w:szCs w:val="28"/>
        </w:rPr>
        <w:t xml:space="preserve">остатков на счетах автономных и бюджетных учреждений, уменьшением </w:t>
      </w:r>
      <w:r w:rsidR="00E80CB2" w:rsidRPr="00B6068A">
        <w:rPr>
          <w:sz w:val="28"/>
          <w:szCs w:val="28"/>
        </w:rPr>
        <w:t xml:space="preserve">задолженности </w:t>
      </w:r>
      <w:r w:rsidR="00A20B19">
        <w:rPr>
          <w:sz w:val="28"/>
          <w:szCs w:val="28"/>
        </w:rPr>
        <w:t xml:space="preserve">казенных учреждений </w:t>
      </w:r>
      <w:r w:rsidR="00E80CB2" w:rsidRPr="00B6068A">
        <w:rPr>
          <w:sz w:val="28"/>
          <w:szCs w:val="28"/>
        </w:rPr>
        <w:t xml:space="preserve">за </w:t>
      </w:r>
      <w:r w:rsidR="00B6068A" w:rsidRPr="00B6068A">
        <w:rPr>
          <w:sz w:val="28"/>
          <w:szCs w:val="28"/>
        </w:rPr>
        <w:t xml:space="preserve">прочие </w:t>
      </w:r>
      <w:r w:rsidR="00E80CB2" w:rsidRPr="00B6068A">
        <w:rPr>
          <w:sz w:val="28"/>
          <w:szCs w:val="28"/>
        </w:rPr>
        <w:t>услуги</w:t>
      </w:r>
      <w:r w:rsidR="00B6068A" w:rsidRPr="00B6068A">
        <w:rPr>
          <w:sz w:val="28"/>
          <w:szCs w:val="28"/>
        </w:rPr>
        <w:t>, коммунальные услуги</w:t>
      </w:r>
      <w:r w:rsidR="007F76E7" w:rsidRPr="00B6068A">
        <w:rPr>
          <w:sz w:val="28"/>
          <w:szCs w:val="28"/>
        </w:rPr>
        <w:t>,</w:t>
      </w:r>
      <w:r w:rsidR="00E80CB2" w:rsidRPr="00B6068A">
        <w:rPr>
          <w:sz w:val="28"/>
          <w:szCs w:val="28"/>
        </w:rPr>
        <w:t xml:space="preserve"> </w:t>
      </w:r>
      <w:r w:rsidR="00E04021" w:rsidRPr="00B6068A">
        <w:rPr>
          <w:sz w:val="28"/>
          <w:szCs w:val="28"/>
        </w:rPr>
        <w:t>приобретение материальных запасов</w:t>
      </w:r>
      <w:r w:rsidR="00E80CB2" w:rsidRPr="00B6068A">
        <w:rPr>
          <w:sz w:val="28"/>
          <w:szCs w:val="28"/>
        </w:rPr>
        <w:t>.</w:t>
      </w:r>
    </w:p>
    <w:p w:rsidR="00E80CB2" w:rsidRDefault="00E80CB2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B6068A">
        <w:rPr>
          <w:sz w:val="28"/>
          <w:szCs w:val="28"/>
        </w:rPr>
        <w:t xml:space="preserve">Просроченной дебиторской и кредиторской задолженности </w:t>
      </w:r>
      <w:r w:rsidR="00917E27" w:rsidRPr="00B6068A">
        <w:rPr>
          <w:sz w:val="28"/>
          <w:szCs w:val="28"/>
        </w:rPr>
        <w:t>не имеется</w:t>
      </w:r>
      <w:r w:rsidRPr="00B6068A">
        <w:rPr>
          <w:sz w:val="28"/>
          <w:szCs w:val="28"/>
        </w:rPr>
        <w:t>.</w:t>
      </w:r>
      <w:r w:rsidRPr="00CC4A51">
        <w:rPr>
          <w:sz w:val="28"/>
          <w:szCs w:val="28"/>
        </w:rPr>
        <w:t xml:space="preserve">  </w:t>
      </w:r>
    </w:p>
    <w:p w:rsidR="003E7EC4" w:rsidRDefault="003E7EC4" w:rsidP="00B51854">
      <w:pPr>
        <w:spacing w:line="276" w:lineRule="auto"/>
        <w:ind w:firstLine="720"/>
        <w:jc w:val="both"/>
        <w:rPr>
          <w:sz w:val="28"/>
          <w:szCs w:val="28"/>
        </w:rPr>
      </w:pPr>
    </w:p>
    <w:p w:rsidR="001853BA" w:rsidRPr="001853BA" w:rsidRDefault="001853BA" w:rsidP="001853BA">
      <w:pPr>
        <w:spacing w:line="312" w:lineRule="auto"/>
        <w:ind w:left="360"/>
        <w:jc w:val="center"/>
        <w:rPr>
          <w:b/>
          <w:sz w:val="28"/>
          <w:szCs w:val="28"/>
        </w:rPr>
      </w:pPr>
      <w:r w:rsidRPr="001853BA">
        <w:rPr>
          <w:b/>
          <w:sz w:val="28"/>
          <w:szCs w:val="28"/>
        </w:rPr>
        <w:t>Расходование средств резервного фонда Альметьевского муниципального района</w:t>
      </w:r>
    </w:p>
    <w:p w:rsidR="001853BA" w:rsidRPr="001853BA" w:rsidRDefault="001853BA" w:rsidP="001853BA">
      <w:pPr>
        <w:spacing w:line="276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 w:rsidRPr="001853BA">
        <w:rPr>
          <w:sz w:val="28"/>
          <w:szCs w:val="28"/>
        </w:rPr>
        <w:t xml:space="preserve">Решением о бюджете на 2016 год в расходной части бюджета района предусмотрены средства резервного фонда в сумме 10 597,3 </w:t>
      </w:r>
      <w:proofErr w:type="spellStart"/>
      <w:r w:rsidRPr="001853BA">
        <w:rPr>
          <w:sz w:val="28"/>
          <w:szCs w:val="28"/>
        </w:rPr>
        <w:t>тыс</w:t>
      </w:r>
      <w:proofErr w:type="gramStart"/>
      <w:r w:rsidRPr="001853BA">
        <w:rPr>
          <w:sz w:val="28"/>
          <w:szCs w:val="28"/>
        </w:rPr>
        <w:t>.р</w:t>
      </w:r>
      <w:proofErr w:type="gramEnd"/>
      <w:r w:rsidRPr="001853BA">
        <w:rPr>
          <w:sz w:val="28"/>
          <w:szCs w:val="28"/>
        </w:rPr>
        <w:t>ублей</w:t>
      </w:r>
      <w:proofErr w:type="spellEnd"/>
      <w:r w:rsidRPr="001853BA">
        <w:rPr>
          <w:sz w:val="28"/>
          <w:szCs w:val="28"/>
        </w:rPr>
        <w:t xml:space="preserve"> или 0,3% от утвержденного расхода бюджета района (3 351 003,6 </w:t>
      </w:r>
      <w:proofErr w:type="spellStart"/>
      <w:r w:rsidRPr="001853BA">
        <w:rPr>
          <w:sz w:val="28"/>
          <w:szCs w:val="28"/>
        </w:rPr>
        <w:t>тыс.рублей</w:t>
      </w:r>
      <w:proofErr w:type="spellEnd"/>
      <w:r w:rsidRPr="001853BA">
        <w:rPr>
          <w:sz w:val="28"/>
          <w:szCs w:val="28"/>
        </w:rPr>
        <w:t>), что не превышает предельного установленного п.3 ст.81 Бюджетного кодекса РФ размера 3 процента.</w:t>
      </w:r>
    </w:p>
    <w:p w:rsidR="001853BA" w:rsidRDefault="001853BA" w:rsidP="001853BA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1853BA">
        <w:rPr>
          <w:rFonts w:ascii="Times New Roman" w:hAnsi="Times New Roman" w:cs="Times New Roman"/>
          <w:sz w:val="28"/>
          <w:szCs w:val="28"/>
        </w:rPr>
        <w:t>В ходе исполнения бюджета Альметьевского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использовании средств не возникло</w:t>
      </w:r>
      <w:r w:rsidRPr="001853BA">
        <w:rPr>
          <w:rFonts w:ascii="Times New Roman" w:hAnsi="Times New Roman" w:cs="Times New Roman"/>
          <w:sz w:val="28"/>
          <w:szCs w:val="28"/>
        </w:rPr>
        <w:t xml:space="preserve">, средства Резервного фонда были перераспределены и отражены в расходах главных распорядителей бюджетных средств (получателей средств бюджета района). </w:t>
      </w:r>
    </w:p>
    <w:p w:rsidR="00F62482" w:rsidRDefault="00F62482" w:rsidP="00F62482"/>
    <w:p w:rsidR="00F62482" w:rsidRDefault="00F62482" w:rsidP="00F62482"/>
    <w:p w:rsidR="00F62482" w:rsidRDefault="00F62482" w:rsidP="00F62482"/>
    <w:p w:rsidR="00F62482" w:rsidRPr="00F62482" w:rsidRDefault="00F62482" w:rsidP="00F62482"/>
    <w:p w:rsidR="00BA34FD" w:rsidRPr="00BA34FD" w:rsidRDefault="00BA34FD" w:rsidP="00BA34FD"/>
    <w:p w:rsidR="00610D2F" w:rsidRDefault="00610D2F" w:rsidP="00B4333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7631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610D2F">
        <w:rPr>
          <w:b/>
          <w:sz w:val="28"/>
          <w:szCs w:val="28"/>
        </w:rPr>
        <w:t xml:space="preserve">Заключение </w:t>
      </w:r>
    </w:p>
    <w:p w:rsidR="00053FC4" w:rsidRDefault="00053FC4" w:rsidP="00C74400">
      <w:pPr>
        <w:spacing w:line="276" w:lineRule="auto"/>
        <w:jc w:val="both"/>
        <w:rPr>
          <w:b/>
          <w:sz w:val="28"/>
          <w:szCs w:val="28"/>
        </w:rPr>
      </w:pPr>
    </w:p>
    <w:p w:rsidR="00053FC4" w:rsidRPr="00053FC4" w:rsidRDefault="00053FC4" w:rsidP="00053FC4">
      <w:pPr>
        <w:spacing w:line="276" w:lineRule="auto"/>
        <w:ind w:firstLine="709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Проведенный Контрольно-счетной палатой анализ определил, что Отчет об исполнении бюджета Альметьевского муниципального района за 2016 год в целом соответствует нормам и положениям бюджетного законодательства. </w:t>
      </w:r>
    </w:p>
    <w:p w:rsidR="00053FC4" w:rsidRDefault="00E67A32" w:rsidP="00053F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        </w:t>
      </w:r>
      <w:r w:rsidR="00610D2F" w:rsidRPr="00053FC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10D2F" w:rsidRPr="00053FC4">
        <w:rPr>
          <w:sz w:val="28"/>
          <w:szCs w:val="28"/>
        </w:rPr>
        <w:t xml:space="preserve">В отчетном году доходы бюджета Альметьевского муниципального района составили  </w:t>
      </w:r>
      <w:r w:rsidR="00E85815" w:rsidRPr="00053FC4">
        <w:rPr>
          <w:sz w:val="28"/>
          <w:szCs w:val="28"/>
        </w:rPr>
        <w:t>3 765 368,9</w:t>
      </w:r>
      <w:r w:rsidR="00610D2F" w:rsidRPr="00053FC4">
        <w:rPr>
          <w:sz w:val="28"/>
          <w:szCs w:val="28"/>
        </w:rPr>
        <w:t xml:space="preserve">  </w:t>
      </w:r>
      <w:proofErr w:type="spellStart"/>
      <w:r w:rsidR="00610D2F" w:rsidRPr="00053FC4">
        <w:rPr>
          <w:sz w:val="28"/>
          <w:szCs w:val="28"/>
        </w:rPr>
        <w:t>тыс</w:t>
      </w:r>
      <w:proofErr w:type="gramStart"/>
      <w:r w:rsidR="00610D2F" w:rsidRPr="00053FC4">
        <w:rPr>
          <w:sz w:val="28"/>
          <w:szCs w:val="28"/>
        </w:rPr>
        <w:t>.р</w:t>
      </w:r>
      <w:proofErr w:type="gramEnd"/>
      <w:r w:rsidR="00610D2F" w:rsidRPr="00053FC4">
        <w:rPr>
          <w:sz w:val="28"/>
          <w:szCs w:val="28"/>
        </w:rPr>
        <w:t>ублей</w:t>
      </w:r>
      <w:proofErr w:type="spellEnd"/>
      <w:r w:rsidR="00610D2F" w:rsidRPr="00053FC4">
        <w:rPr>
          <w:sz w:val="28"/>
          <w:szCs w:val="28"/>
        </w:rPr>
        <w:t xml:space="preserve">, расходы – </w:t>
      </w:r>
      <w:r w:rsidR="00E85815" w:rsidRPr="00053FC4">
        <w:rPr>
          <w:sz w:val="28"/>
          <w:szCs w:val="28"/>
        </w:rPr>
        <w:t>3 646 948,9</w:t>
      </w:r>
      <w:r w:rsidR="00E725AD" w:rsidRPr="00053FC4">
        <w:rPr>
          <w:sz w:val="28"/>
          <w:szCs w:val="28"/>
        </w:rPr>
        <w:t xml:space="preserve"> </w:t>
      </w:r>
      <w:r w:rsidR="006613FF" w:rsidRPr="00053FC4">
        <w:rPr>
          <w:sz w:val="28"/>
          <w:szCs w:val="28"/>
        </w:rPr>
        <w:t xml:space="preserve">тыс. рублей с превышением доходов над расходами (профицит бюджета Альметьевского муниципального района) в сумме </w:t>
      </w:r>
      <w:r w:rsidR="00E85815" w:rsidRPr="00053FC4">
        <w:rPr>
          <w:sz w:val="28"/>
          <w:szCs w:val="28"/>
        </w:rPr>
        <w:t>118 420,0</w:t>
      </w:r>
      <w:r w:rsidR="00053FC4">
        <w:rPr>
          <w:sz w:val="28"/>
          <w:szCs w:val="28"/>
        </w:rPr>
        <w:t xml:space="preserve"> </w:t>
      </w:r>
      <w:proofErr w:type="spellStart"/>
      <w:r w:rsidR="00053FC4">
        <w:rPr>
          <w:sz w:val="28"/>
          <w:szCs w:val="28"/>
        </w:rPr>
        <w:t>тыс.рублей</w:t>
      </w:r>
      <w:proofErr w:type="spellEnd"/>
      <w:r w:rsidR="00053FC4">
        <w:rPr>
          <w:sz w:val="28"/>
          <w:szCs w:val="28"/>
        </w:rPr>
        <w:t>.</w:t>
      </w:r>
    </w:p>
    <w:p w:rsidR="003677F0" w:rsidRPr="00053FC4" w:rsidRDefault="00C143CB" w:rsidP="00053F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53FC4">
        <w:rPr>
          <w:sz w:val="28"/>
          <w:szCs w:val="28"/>
        </w:rPr>
        <w:t xml:space="preserve">       </w:t>
      </w:r>
      <w:r w:rsidR="00B13844" w:rsidRPr="00053FC4">
        <w:rPr>
          <w:sz w:val="28"/>
          <w:szCs w:val="28"/>
        </w:rPr>
        <w:t xml:space="preserve"> </w:t>
      </w:r>
      <w:r w:rsidRPr="00053FC4">
        <w:rPr>
          <w:sz w:val="28"/>
          <w:szCs w:val="28"/>
        </w:rPr>
        <w:t xml:space="preserve"> </w:t>
      </w:r>
      <w:r w:rsidR="00850162" w:rsidRPr="00053FC4">
        <w:rPr>
          <w:sz w:val="28"/>
          <w:szCs w:val="28"/>
        </w:rPr>
        <w:t xml:space="preserve"> </w:t>
      </w:r>
      <w:r w:rsidR="00027921" w:rsidRPr="00053FC4">
        <w:rPr>
          <w:sz w:val="28"/>
          <w:szCs w:val="28"/>
        </w:rPr>
        <w:t xml:space="preserve">Расходы на реализацию муниципальных  программ составили </w:t>
      </w:r>
      <w:r w:rsidR="00E62592" w:rsidRPr="00053FC4">
        <w:rPr>
          <w:bCs/>
          <w:sz w:val="28"/>
          <w:szCs w:val="28"/>
        </w:rPr>
        <w:t>2 409 854,2</w:t>
      </w:r>
      <w:r w:rsidR="009D62D6" w:rsidRPr="00053FC4">
        <w:rPr>
          <w:bCs/>
          <w:sz w:val="28"/>
          <w:szCs w:val="28"/>
        </w:rPr>
        <w:t xml:space="preserve"> </w:t>
      </w:r>
      <w:proofErr w:type="spellStart"/>
      <w:r w:rsidR="00027921" w:rsidRPr="00053FC4">
        <w:rPr>
          <w:sz w:val="28"/>
          <w:szCs w:val="28"/>
        </w:rPr>
        <w:t>тыс</w:t>
      </w:r>
      <w:proofErr w:type="gramStart"/>
      <w:r w:rsidR="00027921" w:rsidRPr="00053FC4">
        <w:rPr>
          <w:sz w:val="28"/>
          <w:szCs w:val="28"/>
        </w:rPr>
        <w:t>.р</w:t>
      </w:r>
      <w:proofErr w:type="gramEnd"/>
      <w:r w:rsidR="00027921" w:rsidRPr="00053FC4">
        <w:rPr>
          <w:sz w:val="28"/>
          <w:szCs w:val="28"/>
        </w:rPr>
        <w:t>уб</w:t>
      </w:r>
      <w:proofErr w:type="spellEnd"/>
      <w:r w:rsidR="00027921" w:rsidRPr="00053FC4">
        <w:rPr>
          <w:sz w:val="28"/>
          <w:szCs w:val="28"/>
        </w:rPr>
        <w:t>.</w:t>
      </w:r>
      <w:r w:rsidR="00D24145" w:rsidRPr="00053FC4">
        <w:rPr>
          <w:sz w:val="28"/>
          <w:szCs w:val="28"/>
        </w:rPr>
        <w:t xml:space="preserve"> </w:t>
      </w:r>
      <w:r w:rsidR="00850162" w:rsidRPr="00053FC4">
        <w:rPr>
          <w:sz w:val="28"/>
          <w:szCs w:val="28"/>
        </w:rPr>
        <w:t xml:space="preserve">По отдельным программам расходы исполнены ниже утвержденных показателей, что связано невыполнением в полном объеме программных мероприятий. </w:t>
      </w:r>
      <w:r w:rsidR="00E62592" w:rsidRPr="00053FC4">
        <w:rPr>
          <w:sz w:val="28"/>
          <w:szCs w:val="28"/>
        </w:rPr>
        <w:t>В</w:t>
      </w:r>
      <w:r w:rsidR="00850162" w:rsidRPr="00053FC4">
        <w:rPr>
          <w:sz w:val="28"/>
          <w:szCs w:val="28"/>
        </w:rPr>
        <w:t xml:space="preserve"> полном объеме не исполнены мероприятия по </w:t>
      </w:r>
      <w:r w:rsidR="00E62592" w:rsidRPr="00053FC4">
        <w:rPr>
          <w:sz w:val="28"/>
          <w:szCs w:val="28"/>
        </w:rPr>
        <w:t xml:space="preserve">одной </w:t>
      </w:r>
      <w:r w:rsidR="00850162" w:rsidRPr="00053FC4">
        <w:rPr>
          <w:sz w:val="28"/>
          <w:szCs w:val="28"/>
        </w:rPr>
        <w:t>муниципальн</w:t>
      </w:r>
      <w:r w:rsidR="00E62592" w:rsidRPr="00053FC4">
        <w:rPr>
          <w:sz w:val="28"/>
          <w:szCs w:val="28"/>
        </w:rPr>
        <w:t>ой</w:t>
      </w:r>
      <w:r w:rsidR="00850162" w:rsidRPr="00053FC4">
        <w:rPr>
          <w:sz w:val="28"/>
          <w:szCs w:val="28"/>
        </w:rPr>
        <w:t xml:space="preserve"> программ</w:t>
      </w:r>
      <w:r w:rsidR="00E62592" w:rsidRPr="00053FC4">
        <w:rPr>
          <w:sz w:val="28"/>
          <w:szCs w:val="28"/>
        </w:rPr>
        <w:t>е</w:t>
      </w:r>
      <w:r w:rsidR="00850162" w:rsidRPr="00053FC4">
        <w:rPr>
          <w:sz w:val="28"/>
          <w:szCs w:val="28"/>
        </w:rPr>
        <w:t>.</w:t>
      </w:r>
    </w:p>
    <w:p w:rsidR="00027921" w:rsidRDefault="00BE2BBB" w:rsidP="00053FC4">
      <w:pPr>
        <w:spacing w:line="276" w:lineRule="auto"/>
        <w:ind w:firstLine="539"/>
        <w:jc w:val="both"/>
        <w:rPr>
          <w:sz w:val="28"/>
          <w:szCs w:val="28"/>
        </w:rPr>
      </w:pPr>
      <w:r w:rsidRPr="00053FC4">
        <w:rPr>
          <w:bCs/>
          <w:sz w:val="28"/>
          <w:szCs w:val="28"/>
        </w:rPr>
        <w:t xml:space="preserve">  </w:t>
      </w:r>
      <w:r w:rsidR="00027921" w:rsidRPr="00053FC4">
        <w:rPr>
          <w:sz w:val="28"/>
          <w:szCs w:val="28"/>
        </w:rPr>
        <w:t>В отчетном году отмечается положительная динамика по снижению: переплат,</w:t>
      </w:r>
      <w:r w:rsidR="005B0069" w:rsidRPr="00053FC4">
        <w:rPr>
          <w:sz w:val="28"/>
          <w:szCs w:val="28"/>
        </w:rPr>
        <w:t xml:space="preserve"> </w:t>
      </w:r>
      <w:r w:rsidR="00027921" w:rsidRPr="00053FC4">
        <w:rPr>
          <w:sz w:val="28"/>
          <w:szCs w:val="28"/>
        </w:rPr>
        <w:t>произведенных бюджетополучателями в счет платежей следующего финансового года</w:t>
      </w:r>
      <w:r w:rsidR="005B0069" w:rsidRPr="00053FC4">
        <w:rPr>
          <w:sz w:val="28"/>
          <w:szCs w:val="28"/>
        </w:rPr>
        <w:t>. При этом отмечается рост объемов кредиторской  з</w:t>
      </w:r>
      <w:r w:rsidR="00027921" w:rsidRPr="00053FC4">
        <w:rPr>
          <w:sz w:val="28"/>
          <w:szCs w:val="28"/>
        </w:rPr>
        <w:t>адолженности</w:t>
      </w:r>
      <w:r w:rsidR="00634E9F" w:rsidRPr="00053FC4">
        <w:rPr>
          <w:sz w:val="28"/>
          <w:szCs w:val="28"/>
        </w:rPr>
        <w:t>.</w:t>
      </w:r>
    </w:p>
    <w:p w:rsidR="00053FC4" w:rsidRPr="00053FC4" w:rsidRDefault="00053FC4" w:rsidP="00053FC4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53FC4">
        <w:rPr>
          <w:sz w:val="28"/>
          <w:szCs w:val="28"/>
        </w:rPr>
        <w:t xml:space="preserve"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2016 год, отраженные в годовой бюджетной отчетности главных администраторов бюджетных средств Альметьевского муниципального района, соответствуют показателям, утвержденным решением о бюджете на 2016 год и показателям Отчета об исполнении бюджета </w:t>
      </w:r>
      <w:r w:rsidR="00B4333B">
        <w:rPr>
          <w:sz w:val="28"/>
          <w:szCs w:val="28"/>
        </w:rPr>
        <w:t>Альметьевского муниципального района</w:t>
      </w:r>
      <w:r w:rsidRPr="00053FC4">
        <w:rPr>
          <w:sz w:val="28"/>
          <w:szCs w:val="28"/>
        </w:rPr>
        <w:t xml:space="preserve"> за 2016 год.</w:t>
      </w:r>
      <w:proofErr w:type="gramEnd"/>
    </w:p>
    <w:p w:rsidR="00053FC4" w:rsidRPr="00053FC4" w:rsidRDefault="00053FC4" w:rsidP="00053FC4">
      <w:pPr>
        <w:spacing w:line="276" w:lineRule="auto"/>
        <w:jc w:val="both"/>
        <w:rPr>
          <w:sz w:val="28"/>
          <w:szCs w:val="28"/>
        </w:rPr>
      </w:pPr>
    </w:p>
    <w:p w:rsidR="00027921" w:rsidRPr="005E29C8" w:rsidRDefault="005B0069" w:rsidP="005B006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E29C8">
        <w:rPr>
          <w:sz w:val="28"/>
          <w:szCs w:val="28"/>
        </w:rPr>
        <w:t xml:space="preserve">  </w:t>
      </w:r>
    </w:p>
    <w:p w:rsidR="003E17EF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CC4A51" w:rsidRPr="00CC4A51" w:rsidRDefault="00CC4A51" w:rsidP="002A005E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 w:rsidR="00EE35A7"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E725AD" w:rsidRPr="001C56E9" w:rsidRDefault="00CC4A51" w:rsidP="00B13844">
      <w:pPr>
        <w:jc w:val="both"/>
      </w:pPr>
      <w:r w:rsidRPr="00CC4A51">
        <w:rPr>
          <w:sz w:val="28"/>
          <w:szCs w:val="28"/>
        </w:rPr>
        <w:t xml:space="preserve">Альметьевского муниципального района                                   Д.Р. </w:t>
      </w:r>
      <w:proofErr w:type="spellStart"/>
      <w:r w:rsidRPr="00CC4A51">
        <w:rPr>
          <w:sz w:val="28"/>
          <w:szCs w:val="28"/>
        </w:rPr>
        <w:t>Ханмурзина</w:t>
      </w:r>
      <w:proofErr w:type="spellEnd"/>
      <w:r w:rsidR="00E725AD" w:rsidRPr="00B87C5B">
        <w:t xml:space="preserve">                                                        </w:t>
      </w:r>
      <w:r w:rsidR="00E725AD">
        <w:t xml:space="preserve">                                     </w:t>
      </w:r>
      <w:r w:rsidR="00E725AD" w:rsidRPr="00B87C5B">
        <w:t xml:space="preserve">  </w:t>
      </w:r>
    </w:p>
    <w:p w:rsidR="00E725AD" w:rsidRDefault="00E725AD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436281" w:rsidRDefault="00436281" w:rsidP="001C56E9">
      <w:pPr>
        <w:ind w:right="119"/>
        <w:jc w:val="both"/>
      </w:pPr>
    </w:p>
    <w:p w:rsidR="008D11E5" w:rsidRDefault="008D11E5" w:rsidP="00E725AD">
      <w:bookmarkStart w:id="0" w:name="_GoBack"/>
      <w:bookmarkEnd w:id="0"/>
      <w:r>
        <w:t xml:space="preserve">                                                            </w:t>
      </w:r>
    </w:p>
    <w:sectPr w:rsidR="008D11E5" w:rsidSect="00ED4F3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89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36" w:rsidRDefault="00E14036">
      <w:r>
        <w:separator/>
      </w:r>
    </w:p>
  </w:endnote>
  <w:endnote w:type="continuationSeparator" w:id="0">
    <w:p w:rsidR="00E14036" w:rsidRDefault="00E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3" w:rsidRDefault="007D4043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043" w:rsidRDefault="007D4043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3" w:rsidRDefault="007D4043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2482">
      <w:rPr>
        <w:rStyle w:val="a4"/>
        <w:noProof/>
      </w:rPr>
      <w:t>31</w:t>
    </w:r>
    <w:r>
      <w:rPr>
        <w:rStyle w:val="a4"/>
      </w:rPr>
      <w:fldChar w:fldCharType="end"/>
    </w:r>
  </w:p>
  <w:p w:rsidR="007D4043" w:rsidRDefault="007D4043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36" w:rsidRDefault="00E14036">
      <w:r>
        <w:separator/>
      </w:r>
    </w:p>
  </w:footnote>
  <w:footnote w:type="continuationSeparator" w:id="0">
    <w:p w:rsidR="00E14036" w:rsidRDefault="00E1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3" w:rsidRDefault="007D4043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043" w:rsidRDefault="007D4043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3" w:rsidRDefault="007D4043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45B6C"/>
    <w:multiLevelType w:val="hybridMultilevel"/>
    <w:tmpl w:val="2F14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184"/>
    <w:multiLevelType w:val="hybridMultilevel"/>
    <w:tmpl w:val="D93EDC4C"/>
    <w:lvl w:ilvl="0" w:tplc="0CA69862">
      <w:start w:val="1"/>
      <w:numFmt w:val="decimal"/>
      <w:lvlText w:val="%1.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77025"/>
    <w:multiLevelType w:val="hybridMultilevel"/>
    <w:tmpl w:val="BCE898CA"/>
    <w:lvl w:ilvl="0" w:tplc="AF0CE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8533C"/>
    <w:multiLevelType w:val="hybridMultilevel"/>
    <w:tmpl w:val="D74E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EA1EB4"/>
    <w:multiLevelType w:val="hybridMultilevel"/>
    <w:tmpl w:val="FB92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A01BC"/>
    <w:multiLevelType w:val="hybridMultilevel"/>
    <w:tmpl w:val="CD3042FA"/>
    <w:lvl w:ilvl="0" w:tplc="27F8D27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8"/>
  </w:num>
  <w:num w:numId="18">
    <w:abstractNumId w:val="9"/>
  </w:num>
  <w:num w:numId="19">
    <w:abstractNumId w:val="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3F48"/>
    <w:rsid w:val="00004D29"/>
    <w:rsid w:val="00005CDE"/>
    <w:rsid w:val="00007401"/>
    <w:rsid w:val="00010047"/>
    <w:rsid w:val="000103C2"/>
    <w:rsid w:val="00010413"/>
    <w:rsid w:val="00012B97"/>
    <w:rsid w:val="00012FDE"/>
    <w:rsid w:val="00022971"/>
    <w:rsid w:val="00022BF0"/>
    <w:rsid w:val="00024B1E"/>
    <w:rsid w:val="000251B6"/>
    <w:rsid w:val="0002524C"/>
    <w:rsid w:val="0002580E"/>
    <w:rsid w:val="000262B1"/>
    <w:rsid w:val="000263D9"/>
    <w:rsid w:val="00026782"/>
    <w:rsid w:val="00027921"/>
    <w:rsid w:val="00027AC0"/>
    <w:rsid w:val="00031ACA"/>
    <w:rsid w:val="00032A6E"/>
    <w:rsid w:val="00033C4F"/>
    <w:rsid w:val="00034339"/>
    <w:rsid w:val="0003440A"/>
    <w:rsid w:val="0003530B"/>
    <w:rsid w:val="000354BB"/>
    <w:rsid w:val="000378B5"/>
    <w:rsid w:val="0004110F"/>
    <w:rsid w:val="000522D0"/>
    <w:rsid w:val="00053FC4"/>
    <w:rsid w:val="000613F2"/>
    <w:rsid w:val="000616B2"/>
    <w:rsid w:val="000616D1"/>
    <w:rsid w:val="00063B16"/>
    <w:rsid w:val="0006558D"/>
    <w:rsid w:val="00065CF7"/>
    <w:rsid w:val="000663A7"/>
    <w:rsid w:val="00070B4C"/>
    <w:rsid w:val="00073D30"/>
    <w:rsid w:val="00074D47"/>
    <w:rsid w:val="00074ECB"/>
    <w:rsid w:val="00076E15"/>
    <w:rsid w:val="000803B0"/>
    <w:rsid w:val="00081C7A"/>
    <w:rsid w:val="000821DB"/>
    <w:rsid w:val="00082A59"/>
    <w:rsid w:val="00082B09"/>
    <w:rsid w:val="00084379"/>
    <w:rsid w:val="00084CE6"/>
    <w:rsid w:val="00085B1E"/>
    <w:rsid w:val="00086FB5"/>
    <w:rsid w:val="000901AB"/>
    <w:rsid w:val="00090570"/>
    <w:rsid w:val="00094D84"/>
    <w:rsid w:val="0009582C"/>
    <w:rsid w:val="00095BA4"/>
    <w:rsid w:val="000A028E"/>
    <w:rsid w:val="000A4645"/>
    <w:rsid w:val="000A53F0"/>
    <w:rsid w:val="000A6243"/>
    <w:rsid w:val="000B041B"/>
    <w:rsid w:val="000B2216"/>
    <w:rsid w:val="000B2290"/>
    <w:rsid w:val="000B49AE"/>
    <w:rsid w:val="000C04C2"/>
    <w:rsid w:val="000C13E7"/>
    <w:rsid w:val="000C6162"/>
    <w:rsid w:val="000C7591"/>
    <w:rsid w:val="000D1107"/>
    <w:rsid w:val="000D76AD"/>
    <w:rsid w:val="000D7BC1"/>
    <w:rsid w:val="000E0756"/>
    <w:rsid w:val="000E4811"/>
    <w:rsid w:val="000E61E8"/>
    <w:rsid w:val="000E6A72"/>
    <w:rsid w:val="000E7D43"/>
    <w:rsid w:val="000E7F6E"/>
    <w:rsid w:val="000F5562"/>
    <w:rsid w:val="000F69D2"/>
    <w:rsid w:val="00101B48"/>
    <w:rsid w:val="0010459C"/>
    <w:rsid w:val="00105633"/>
    <w:rsid w:val="00106C19"/>
    <w:rsid w:val="00107090"/>
    <w:rsid w:val="001077BE"/>
    <w:rsid w:val="001107EE"/>
    <w:rsid w:val="001120CB"/>
    <w:rsid w:val="001148A7"/>
    <w:rsid w:val="0011605F"/>
    <w:rsid w:val="001164A2"/>
    <w:rsid w:val="00116B19"/>
    <w:rsid w:val="00120267"/>
    <w:rsid w:val="00120689"/>
    <w:rsid w:val="00120C48"/>
    <w:rsid w:val="00120FC9"/>
    <w:rsid w:val="00122672"/>
    <w:rsid w:val="001237B3"/>
    <w:rsid w:val="00125B80"/>
    <w:rsid w:val="00127814"/>
    <w:rsid w:val="00136B4B"/>
    <w:rsid w:val="00137B8F"/>
    <w:rsid w:val="00140603"/>
    <w:rsid w:val="001428FC"/>
    <w:rsid w:val="00142B2E"/>
    <w:rsid w:val="00143409"/>
    <w:rsid w:val="001440E7"/>
    <w:rsid w:val="001466C4"/>
    <w:rsid w:val="001475D0"/>
    <w:rsid w:val="00147F4E"/>
    <w:rsid w:val="00150516"/>
    <w:rsid w:val="00151124"/>
    <w:rsid w:val="0015255F"/>
    <w:rsid w:val="001529FC"/>
    <w:rsid w:val="00152BA7"/>
    <w:rsid w:val="00152FCC"/>
    <w:rsid w:val="00154198"/>
    <w:rsid w:val="001549B0"/>
    <w:rsid w:val="00154B31"/>
    <w:rsid w:val="00157793"/>
    <w:rsid w:val="001602B5"/>
    <w:rsid w:val="00160308"/>
    <w:rsid w:val="00160A12"/>
    <w:rsid w:val="00162F00"/>
    <w:rsid w:val="001640DA"/>
    <w:rsid w:val="0016444C"/>
    <w:rsid w:val="00164C08"/>
    <w:rsid w:val="001658CD"/>
    <w:rsid w:val="0017108C"/>
    <w:rsid w:val="001712B8"/>
    <w:rsid w:val="001712C2"/>
    <w:rsid w:val="00172150"/>
    <w:rsid w:val="001727FE"/>
    <w:rsid w:val="00172D0B"/>
    <w:rsid w:val="00174BD3"/>
    <w:rsid w:val="00175025"/>
    <w:rsid w:val="00175211"/>
    <w:rsid w:val="0017659E"/>
    <w:rsid w:val="001765DC"/>
    <w:rsid w:val="00176F80"/>
    <w:rsid w:val="0018051F"/>
    <w:rsid w:val="00182BBC"/>
    <w:rsid w:val="00184040"/>
    <w:rsid w:val="001853BA"/>
    <w:rsid w:val="00185F4E"/>
    <w:rsid w:val="00187003"/>
    <w:rsid w:val="00187588"/>
    <w:rsid w:val="00190683"/>
    <w:rsid w:val="00191FCD"/>
    <w:rsid w:val="00192359"/>
    <w:rsid w:val="001931AD"/>
    <w:rsid w:val="00195447"/>
    <w:rsid w:val="00195B12"/>
    <w:rsid w:val="001A0B1A"/>
    <w:rsid w:val="001A2024"/>
    <w:rsid w:val="001A561A"/>
    <w:rsid w:val="001A6FB3"/>
    <w:rsid w:val="001A77C0"/>
    <w:rsid w:val="001B0615"/>
    <w:rsid w:val="001B1114"/>
    <w:rsid w:val="001B298A"/>
    <w:rsid w:val="001B2E75"/>
    <w:rsid w:val="001B3D79"/>
    <w:rsid w:val="001B4FE1"/>
    <w:rsid w:val="001C22FD"/>
    <w:rsid w:val="001C56E9"/>
    <w:rsid w:val="001C5F29"/>
    <w:rsid w:val="001C6CD9"/>
    <w:rsid w:val="001D0307"/>
    <w:rsid w:val="001D1A55"/>
    <w:rsid w:val="001D2FA3"/>
    <w:rsid w:val="001D3D91"/>
    <w:rsid w:val="001D6E89"/>
    <w:rsid w:val="001D7F28"/>
    <w:rsid w:val="001E1A3B"/>
    <w:rsid w:val="001E58F6"/>
    <w:rsid w:val="001F0860"/>
    <w:rsid w:val="001F0D6A"/>
    <w:rsid w:val="001F2C1C"/>
    <w:rsid w:val="001F7134"/>
    <w:rsid w:val="00200607"/>
    <w:rsid w:val="00201CA4"/>
    <w:rsid w:val="00210D27"/>
    <w:rsid w:val="0021154B"/>
    <w:rsid w:val="002163CA"/>
    <w:rsid w:val="002179A8"/>
    <w:rsid w:val="00220CE5"/>
    <w:rsid w:val="002236B3"/>
    <w:rsid w:val="0022384B"/>
    <w:rsid w:val="00224B77"/>
    <w:rsid w:val="00224C77"/>
    <w:rsid w:val="00224E0B"/>
    <w:rsid w:val="00225961"/>
    <w:rsid w:val="00226C0C"/>
    <w:rsid w:val="00230A22"/>
    <w:rsid w:val="002344C4"/>
    <w:rsid w:val="002353CD"/>
    <w:rsid w:val="00236B2C"/>
    <w:rsid w:val="00236E71"/>
    <w:rsid w:val="00236FEF"/>
    <w:rsid w:val="002413BF"/>
    <w:rsid w:val="00241EDA"/>
    <w:rsid w:val="002440D2"/>
    <w:rsid w:val="0024424A"/>
    <w:rsid w:val="0024446A"/>
    <w:rsid w:val="00247C1C"/>
    <w:rsid w:val="00251B02"/>
    <w:rsid w:val="00252188"/>
    <w:rsid w:val="00252217"/>
    <w:rsid w:val="00252760"/>
    <w:rsid w:val="00253001"/>
    <w:rsid w:val="00253A6D"/>
    <w:rsid w:val="00254191"/>
    <w:rsid w:val="0025504F"/>
    <w:rsid w:val="00255189"/>
    <w:rsid w:val="002616D6"/>
    <w:rsid w:val="00262C96"/>
    <w:rsid w:val="00265D8E"/>
    <w:rsid w:val="00266273"/>
    <w:rsid w:val="00267C2A"/>
    <w:rsid w:val="0027116A"/>
    <w:rsid w:val="00273A14"/>
    <w:rsid w:val="00273FEE"/>
    <w:rsid w:val="0027450A"/>
    <w:rsid w:val="00275FFB"/>
    <w:rsid w:val="00276884"/>
    <w:rsid w:val="00276C4D"/>
    <w:rsid w:val="00280A7F"/>
    <w:rsid w:val="00282A1E"/>
    <w:rsid w:val="00283088"/>
    <w:rsid w:val="00283F93"/>
    <w:rsid w:val="00285805"/>
    <w:rsid w:val="00286088"/>
    <w:rsid w:val="002861E6"/>
    <w:rsid w:val="00286E70"/>
    <w:rsid w:val="00290D51"/>
    <w:rsid w:val="00292C9D"/>
    <w:rsid w:val="00293EB7"/>
    <w:rsid w:val="002A005E"/>
    <w:rsid w:val="002A07AB"/>
    <w:rsid w:val="002A1B8C"/>
    <w:rsid w:val="002A1CC7"/>
    <w:rsid w:val="002A1E1C"/>
    <w:rsid w:val="002A21FB"/>
    <w:rsid w:val="002A4479"/>
    <w:rsid w:val="002A6BA9"/>
    <w:rsid w:val="002A7223"/>
    <w:rsid w:val="002A76A2"/>
    <w:rsid w:val="002A797B"/>
    <w:rsid w:val="002B0F10"/>
    <w:rsid w:val="002B26FA"/>
    <w:rsid w:val="002B61F9"/>
    <w:rsid w:val="002B6430"/>
    <w:rsid w:val="002B70DD"/>
    <w:rsid w:val="002C13E2"/>
    <w:rsid w:val="002C4208"/>
    <w:rsid w:val="002C5029"/>
    <w:rsid w:val="002C61E9"/>
    <w:rsid w:val="002C77EB"/>
    <w:rsid w:val="002D0716"/>
    <w:rsid w:val="002D11D0"/>
    <w:rsid w:val="002D1F54"/>
    <w:rsid w:val="002D248B"/>
    <w:rsid w:val="002D48E8"/>
    <w:rsid w:val="002D50DC"/>
    <w:rsid w:val="002D5D9D"/>
    <w:rsid w:val="002D6537"/>
    <w:rsid w:val="002D6CC1"/>
    <w:rsid w:val="002D7588"/>
    <w:rsid w:val="002D79CC"/>
    <w:rsid w:val="002E0A29"/>
    <w:rsid w:val="002E2870"/>
    <w:rsid w:val="002E2EE0"/>
    <w:rsid w:val="002E3F75"/>
    <w:rsid w:val="002E4A92"/>
    <w:rsid w:val="002E4F6E"/>
    <w:rsid w:val="002E54A9"/>
    <w:rsid w:val="002F2B09"/>
    <w:rsid w:val="002F30D6"/>
    <w:rsid w:val="002F32FD"/>
    <w:rsid w:val="002F4041"/>
    <w:rsid w:val="002F5F15"/>
    <w:rsid w:val="00302245"/>
    <w:rsid w:val="003029F0"/>
    <w:rsid w:val="00303666"/>
    <w:rsid w:val="00303D2E"/>
    <w:rsid w:val="00304991"/>
    <w:rsid w:val="00306AD3"/>
    <w:rsid w:val="00306B23"/>
    <w:rsid w:val="003108ED"/>
    <w:rsid w:val="00317617"/>
    <w:rsid w:val="00317909"/>
    <w:rsid w:val="00317D71"/>
    <w:rsid w:val="0032150A"/>
    <w:rsid w:val="00321F21"/>
    <w:rsid w:val="0032283C"/>
    <w:rsid w:val="00322DF9"/>
    <w:rsid w:val="00323B2E"/>
    <w:rsid w:val="003245FB"/>
    <w:rsid w:val="00324885"/>
    <w:rsid w:val="0032534A"/>
    <w:rsid w:val="003255D2"/>
    <w:rsid w:val="00326E6D"/>
    <w:rsid w:val="003275A6"/>
    <w:rsid w:val="0033447E"/>
    <w:rsid w:val="00334CB7"/>
    <w:rsid w:val="0034087F"/>
    <w:rsid w:val="00341515"/>
    <w:rsid w:val="00342F61"/>
    <w:rsid w:val="00343537"/>
    <w:rsid w:val="00345E76"/>
    <w:rsid w:val="003472F3"/>
    <w:rsid w:val="00350B1D"/>
    <w:rsid w:val="00352DA2"/>
    <w:rsid w:val="00354E6D"/>
    <w:rsid w:val="003560AD"/>
    <w:rsid w:val="00357018"/>
    <w:rsid w:val="00360C62"/>
    <w:rsid w:val="00363AEB"/>
    <w:rsid w:val="00364224"/>
    <w:rsid w:val="00364C7F"/>
    <w:rsid w:val="00365924"/>
    <w:rsid w:val="00366BF1"/>
    <w:rsid w:val="00366FF4"/>
    <w:rsid w:val="003677F0"/>
    <w:rsid w:val="00370BCE"/>
    <w:rsid w:val="00371D77"/>
    <w:rsid w:val="00373940"/>
    <w:rsid w:val="00373C9C"/>
    <w:rsid w:val="0037476D"/>
    <w:rsid w:val="00374D14"/>
    <w:rsid w:val="00382FB3"/>
    <w:rsid w:val="00383837"/>
    <w:rsid w:val="00386CFD"/>
    <w:rsid w:val="003872C1"/>
    <w:rsid w:val="00392A66"/>
    <w:rsid w:val="003939DF"/>
    <w:rsid w:val="0039476B"/>
    <w:rsid w:val="00394E26"/>
    <w:rsid w:val="00395223"/>
    <w:rsid w:val="00396E13"/>
    <w:rsid w:val="003975FE"/>
    <w:rsid w:val="003A1399"/>
    <w:rsid w:val="003A289A"/>
    <w:rsid w:val="003A370F"/>
    <w:rsid w:val="003A572D"/>
    <w:rsid w:val="003A5E6B"/>
    <w:rsid w:val="003A61EB"/>
    <w:rsid w:val="003A7846"/>
    <w:rsid w:val="003A7C75"/>
    <w:rsid w:val="003B0F44"/>
    <w:rsid w:val="003B1309"/>
    <w:rsid w:val="003B203A"/>
    <w:rsid w:val="003B3B81"/>
    <w:rsid w:val="003B3E19"/>
    <w:rsid w:val="003B5737"/>
    <w:rsid w:val="003B6F0E"/>
    <w:rsid w:val="003C09D4"/>
    <w:rsid w:val="003C3722"/>
    <w:rsid w:val="003C4465"/>
    <w:rsid w:val="003C5E80"/>
    <w:rsid w:val="003C6670"/>
    <w:rsid w:val="003C7945"/>
    <w:rsid w:val="003D3047"/>
    <w:rsid w:val="003D52EC"/>
    <w:rsid w:val="003D798C"/>
    <w:rsid w:val="003E17EF"/>
    <w:rsid w:val="003E2AF5"/>
    <w:rsid w:val="003E2EFA"/>
    <w:rsid w:val="003E2FD5"/>
    <w:rsid w:val="003E7EC4"/>
    <w:rsid w:val="003F074C"/>
    <w:rsid w:val="003F293D"/>
    <w:rsid w:val="003F2EB2"/>
    <w:rsid w:val="003F3B05"/>
    <w:rsid w:val="003F4D44"/>
    <w:rsid w:val="003F5D35"/>
    <w:rsid w:val="003F5F3C"/>
    <w:rsid w:val="003F6621"/>
    <w:rsid w:val="003F6B93"/>
    <w:rsid w:val="0040225F"/>
    <w:rsid w:val="00404211"/>
    <w:rsid w:val="004045A9"/>
    <w:rsid w:val="00407AA8"/>
    <w:rsid w:val="0041094A"/>
    <w:rsid w:val="004123C4"/>
    <w:rsid w:val="0041312A"/>
    <w:rsid w:val="004135D9"/>
    <w:rsid w:val="00415035"/>
    <w:rsid w:val="004162F9"/>
    <w:rsid w:val="00416F94"/>
    <w:rsid w:val="00421968"/>
    <w:rsid w:val="0042406F"/>
    <w:rsid w:val="0042422F"/>
    <w:rsid w:val="004255C7"/>
    <w:rsid w:val="00427162"/>
    <w:rsid w:val="0042748A"/>
    <w:rsid w:val="0043021D"/>
    <w:rsid w:val="0043093D"/>
    <w:rsid w:val="00430DC1"/>
    <w:rsid w:val="0043497D"/>
    <w:rsid w:val="0043498F"/>
    <w:rsid w:val="00436281"/>
    <w:rsid w:val="0043781A"/>
    <w:rsid w:val="00440825"/>
    <w:rsid w:val="0044094D"/>
    <w:rsid w:val="004448D5"/>
    <w:rsid w:val="004475C8"/>
    <w:rsid w:val="004526D8"/>
    <w:rsid w:val="0045290D"/>
    <w:rsid w:val="0045345D"/>
    <w:rsid w:val="004535EA"/>
    <w:rsid w:val="004551BD"/>
    <w:rsid w:val="00462C4E"/>
    <w:rsid w:val="00463486"/>
    <w:rsid w:val="00463AEB"/>
    <w:rsid w:val="0046439B"/>
    <w:rsid w:val="0047052C"/>
    <w:rsid w:val="00470A2E"/>
    <w:rsid w:val="0047149E"/>
    <w:rsid w:val="00471CE4"/>
    <w:rsid w:val="00471F12"/>
    <w:rsid w:val="00471F1E"/>
    <w:rsid w:val="00477A3B"/>
    <w:rsid w:val="00481A17"/>
    <w:rsid w:val="00481F3C"/>
    <w:rsid w:val="00484947"/>
    <w:rsid w:val="0048498A"/>
    <w:rsid w:val="00490628"/>
    <w:rsid w:val="00490BCA"/>
    <w:rsid w:val="00491249"/>
    <w:rsid w:val="004929DA"/>
    <w:rsid w:val="00494059"/>
    <w:rsid w:val="0049491E"/>
    <w:rsid w:val="00494BEF"/>
    <w:rsid w:val="00496E55"/>
    <w:rsid w:val="00497681"/>
    <w:rsid w:val="004A207D"/>
    <w:rsid w:val="004B0079"/>
    <w:rsid w:val="004B05AC"/>
    <w:rsid w:val="004B08A3"/>
    <w:rsid w:val="004B14C1"/>
    <w:rsid w:val="004B2B66"/>
    <w:rsid w:val="004B2FD0"/>
    <w:rsid w:val="004B5B93"/>
    <w:rsid w:val="004B61A6"/>
    <w:rsid w:val="004B6326"/>
    <w:rsid w:val="004C0B06"/>
    <w:rsid w:val="004C318E"/>
    <w:rsid w:val="004C5091"/>
    <w:rsid w:val="004C69CE"/>
    <w:rsid w:val="004D1BD2"/>
    <w:rsid w:val="004D1F43"/>
    <w:rsid w:val="004D55C4"/>
    <w:rsid w:val="004E0164"/>
    <w:rsid w:val="004E0314"/>
    <w:rsid w:val="004E08FA"/>
    <w:rsid w:val="004E138B"/>
    <w:rsid w:val="004E29D0"/>
    <w:rsid w:val="004E45EF"/>
    <w:rsid w:val="004E4960"/>
    <w:rsid w:val="004E53F5"/>
    <w:rsid w:val="004E5995"/>
    <w:rsid w:val="004F094A"/>
    <w:rsid w:val="004F43C7"/>
    <w:rsid w:val="004F47CE"/>
    <w:rsid w:val="004F754C"/>
    <w:rsid w:val="004F7D98"/>
    <w:rsid w:val="00501025"/>
    <w:rsid w:val="005020C4"/>
    <w:rsid w:val="0050310A"/>
    <w:rsid w:val="00503174"/>
    <w:rsid w:val="0050327A"/>
    <w:rsid w:val="00503A64"/>
    <w:rsid w:val="00503F4F"/>
    <w:rsid w:val="005056C8"/>
    <w:rsid w:val="00505896"/>
    <w:rsid w:val="005060CC"/>
    <w:rsid w:val="005065DD"/>
    <w:rsid w:val="0051194E"/>
    <w:rsid w:val="005119F2"/>
    <w:rsid w:val="005162AE"/>
    <w:rsid w:val="00523F7B"/>
    <w:rsid w:val="00525811"/>
    <w:rsid w:val="00526150"/>
    <w:rsid w:val="0053116D"/>
    <w:rsid w:val="005314CC"/>
    <w:rsid w:val="005323AD"/>
    <w:rsid w:val="00535BE6"/>
    <w:rsid w:val="005363E2"/>
    <w:rsid w:val="00536812"/>
    <w:rsid w:val="005408A4"/>
    <w:rsid w:val="005418A6"/>
    <w:rsid w:val="005438D8"/>
    <w:rsid w:val="00544B02"/>
    <w:rsid w:val="0054682F"/>
    <w:rsid w:val="0054722C"/>
    <w:rsid w:val="005509C8"/>
    <w:rsid w:val="00555C05"/>
    <w:rsid w:val="0055670D"/>
    <w:rsid w:val="00560121"/>
    <w:rsid w:val="005607EE"/>
    <w:rsid w:val="00563F46"/>
    <w:rsid w:val="00570571"/>
    <w:rsid w:val="005708F7"/>
    <w:rsid w:val="00570B4F"/>
    <w:rsid w:val="00572013"/>
    <w:rsid w:val="00572904"/>
    <w:rsid w:val="00573DBC"/>
    <w:rsid w:val="00574EBD"/>
    <w:rsid w:val="00575DE7"/>
    <w:rsid w:val="0057630E"/>
    <w:rsid w:val="00576A26"/>
    <w:rsid w:val="00576A80"/>
    <w:rsid w:val="00577929"/>
    <w:rsid w:val="005824B0"/>
    <w:rsid w:val="00583676"/>
    <w:rsid w:val="00583A32"/>
    <w:rsid w:val="00587EF0"/>
    <w:rsid w:val="005915F5"/>
    <w:rsid w:val="00592531"/>
    <w:rsid w:val="00592569"/>
    <w:rsid w:val="00593502"/>
    <w:rsid w:val="00594BF5"/>
    <w:rsid w:val="00594EFA"/>
    <w:rsid w:val="00595452"/>
    <w:rsid w:val="00595761"/>
    <w:rsid w:val="005A487F"/>
    <w:rsid w:val="005A6C67"/>
    <w:rsid w:val="005A73BB"/>
    <w:rsid w:val="005A79A1"/>
    <w:rsid w:val="005B0069"/>
    <w:rsid w:val="005B0297"/>
    <w:rsid w:val="005B0F42"/>
    <w:rsid w:val="005B1412"/>
    <w:rsid w:val="005B2043"/>
    <w:rsid w:val="005B3F47"/>
    <w:rsid w:val="005B4FA0"/>
    <w:rsid w:val="005B601E"/>
    <w:rsid w:val="005B6B5E"/>
    <w:rsid w:val="005C2542"/>
    <w:rsid w:val="005C46A0"/>
    <w:rsid w:val="005C51B7"/>
    <w:rsid w:val="005D41F7"/>
    <w:rsid w:val="005D44A2"/>
    <w:rsid w:val="005D61A9"/>
    <w:rsid w:val="005D6C2B"/>
    <w:rsid w:val="005D75E6"/>
    <w:rsid w:val="005E01B4"/>
    <w:rsid w:val="005E17A2"/>
    <w:rsid w:val="005E2549"/>
    <w:rsid w:val="005E25CE"/>
    <w:rsid w:val="005E29C8"/>
    <w:rsid w:val="005E67F8"/>
    <w:rsid w:val="005E6B3E"/>
    <w:rsid w:val="005E782F"/>
    <w:rsid w:val="005E7AA8"/>
    <w:rsid w:val="005F072F"/>
    <w:rsid w:val="005F0C42"/>
    <w:rsid w:val="005F13C9"/>
    <w:rsid w:val="005F2B22"/>
    <w:rsid w:val="005F4443"/>
    <w:rsid w:val="005F6C7B"/>
    <w:rsid w:val="005F78A1"/>
    <w:rsid w:val="00600DF8"/>
    <w:rsid w:val="00602288"/>
    <w:rsid w:val="00602550"/>
    <w:rsid w:val="00602AC3"/>
    <w:rsid w:val="00602BB4"/>
    <w:rsid w:val="00604B32"/>
    <w:rsid w:val="00605AD4"/>
    <w:rsid w:val="00607694"/>
    <w:rsid w:val="006078A4"/>
    <w:rsid w:val="00610D2F"/>
    <w:rsid w:val="0061386B"/>
    <w:rsid w:val="00615361"/>
    <w:rsid w:val="006157C8"/>
    <w:rsid w:val="00615AC6"/>
    <w:rsid w:val="00616A63"/>
    <w:rsid w:val="006201B5"/>
    <w:rsid w:val="00620CBF"/>
    <w:rsid w:val="00621892"/>
    <w:rsid w:val="0062372A"/>
    <w:rsid w:val="00623D08"/>
    <w:rsid w:val="006246F4"/>
    <w:rsid w:val="0062496B"/>
    <w:rsid w:val="006274CA"/>
    <w:rsid w:val="006312C3"/>
    <w:rsid w:val="00631CEF"/>
    <w:rsid w:val="0063281A"/>
    <w:rsid w:val="00633370"/>
    <w:rsid w:val="00634E9F"/>
    <w:rsid w:val="006400A0"/>
    <w:rsid w:val="00641C43"/>
    <w:rsid w:val="00641CAD"/>
    <w:rsid w:val="00642CBA"/>
    <w:rsid w:val="00642F27"/>
    <w:rsid w:val="00644A66"/>
    <w:rsid w:val="00645EB5"/>
    <w:rsid w:val="00647322"/>
    <w:rsid w:val="00647574"/>
    <w:rsid w:val="0065166F"/>
    <w:rsid w:val="00656F2F"/>
    <w:rsid w:val="00657A2B"/>
    <w:rsid w:val="00657F6A"/>
    <w:rsid w:val="00661296"/>
    <w:rsid w:val="006613FF"/>
    <w:rsid w:val="006615B5"/>
    <w:rsid w:val="0066401C"/>
    <w:rsid w:val="00667170"/>
    <w:rsid w:val="00671583"/>
    <w:rsid w:val="006768E7"/>
    <w:rsid w:val="00680E3B"/>
    <w:rsid w:val="00681290"/>
    <w:rsid w:val="006817F7"/>
    <w:rsid w:val="006856E8"/>
    <w:rsid w:val="00690625"/>
    <w:rsid w:val="00692E8D"/>
    <w:rsid w:val="006932F5"/>
    <w:rsid w:val="00693957"/>
    <w:rsid w:val="006942DA"/>
    <w:rsid w:val="00695D96"/>
    <w:rsid w:val="006A0FF9"/>
    <w:rsid w:val="006A41AB"/>
    <w:rsid w:val="006A4C8F"/>
    <w:rsid w:val="006B0409"/>
    <w:rsid w:val="006B550D"/>
    <w:rsid w:val="006B6C79"/>
    <w:rsid w:val="006C0A21"/>
    <w:rsid w:val="006C1391"/>
    <w:rsid w:val="006C27F0"/>
    <w:rsid w:val="006C2A92"/>
    <w:rsid w:val="006C58FA"/>
    <w:rsid w:val="006C6425"/>
    <w:rsid w:val="006C703B"/>
    <w:rsid w:val="006C77DD"/>
    <w:rsid w:val="006C7C1D"/>
    <w:rsid w:val="006D066A"/>
    <w:rsid w:val="006D1DCA"/>
    <w:rsid w:val="006D5675"/>
    <w:rsid w:val="006D6940"/>
    <w:rsid w:val="006E24EE"/>
    <w:rsid w:val="006E3A8D"/>
    <w:rsid w:val="006E45E7"/>
    <w:rsid w:val="006E4842"/>
    <w:rsid w:val="006F0216"/>
    <w:rsid w:val="006F0790"/>
    <w:rsid w:val="006F1108"/>
    <w:rsid w:val="006F3FE6"/>
    <w:rsid w:val="006F7C35"/>
    <w:rsid w:val="007001FD"/>
    <w:rsid w:val="00700662"/>
    <w:rsid w:val="00701CFE"/>
    <w:rsid w:val="00702138"/>
    <w:rsid w:val="00710569"/>
    <w:rsid w:val="00711C55"/>
    <w:rsid w:val="007138B4"/>
    <w:rsid w:val="00713E80"/>
    <w:rsid w:val="00716C5F"/>
    <w:rsid w:val="00717BF7"/>
    <w:rsid w:val="00721639"/>
    <w:rsid w:val="007223E5"/>
    <w:rsid w:val="00723901"/>
    <w:rsid w:val="007248B9"/>
    <w:rsid w:val="00725BB4"/>
    <w:rsid w:val="0073274F"/>
    <w:rsid w:val="00735DCF"/>
    <w:rsid w:val="007365B4"/>
    <w:rsid w:val="00740B89"/>
    <w:rsid w:val="00740D9B"/>
    <w:rsid w:val="00741FED"/>
    <w:rsid w:val="00742161"/>
    <w:rsid w:val="00742828"/>
    <w:rsid w:val="00743136"/>
    <w:rsid w:val="007436F1"/>
    <w:rsid w:val="007474E5"/>
    <w:rsid w:val="00750226"/>
    <w:rsid w:val="007513D0"/>
    <w:rsid w:val="0075155F"/>
    <w:rsid w:val="00751D55"/>
    <w:rsid w:val="00757D5C"/>
    <w:rsid w:val="0076006D"/>
    <w:rsid w:val="00760B18"/>
    <w:rsid w:val="00762410"/>
    <w:rsid w:val="007624EF"/>
    <w:rsid w:val="00763183"/>
    <w:rsid w:val="00763EC0"/>
    <w:rsid w:val="00766E7E"/>
    <w:rsid w:val="00767BAD"/>
    <w:rsid w:val="00767E52"/>
    <w:rsid w:val="00770BFB"/>
    <w:rsid w:val="00771721"/>
    <w:rsid w:val="00771D15"/>
    <w:rsid w:val="00772DC8"/>
    <w:rsid w:val="00773B5E"/>
    <w:rsid w:val="00773C5E"/>
    <w:rsid w:val="007745C1"/>
    <w:rsid w:val="00776505"/>
    <w:rsid w:val="00776840"/>
    <w:rsid w:val="00777BCA"/>
    <w:rsid w:val="00780438"/>
    <w:rsid w:val="00781147"/>
    <w:rsid w:val="0078520A"/>
    <w:rsid w:val="007854BD"/>
    <w:rsid w:val="007872AC"/>
    <w:rsid w:val="00787462"/>
    <w:rsid w:val="00793FE9"/>
    <w:rsid w:val="0079409D"/>
    <w:rsid w:val="00794ADF"/>
    <w:rsid w:val="00795E5F"/>
    <w:rsid w:val="00795F85"/>
    <w:rsid w:val="00797157"/>
    <w:rsid w:val="00797B81"/>
    <w:rsid w:val="007A0553"/>
    <w:rsid w:val="007A0700"/>
    <w:rsid w:val="007A1EFE"/>
    <w:rsid w:val="007A20A6"/>
    <w:rsid w:val="007A223B"/>
    <w:rsid w:val="007A262B"/>
    <w:rsid w:val="007A358D"/>
    <w:rsid w:val="007A3EB4"/>
    <w:rsid w:val="007A5640"/>
    <w:rsid w:val="007A66D0"/>
    <w:rsid w:val="007A6E08"/>
    <w:rsid w:val="007A72B2"/>
    <w:rsid w:val="007B14FD"/>
    <w:rsid w:val="007B3A10"/>
    <w:rsid w:val="007B3F26"/>
    <w:rsid w:val="007B5AE2"/>
    <w:rsid w:val="007B5B64"/>
    <w:rsid w:val="007C182F"/>
    <w:rsid w:val="007C20CE"/>
    <w:rsid w:val="007C4AED"/>
    <w:rsid w:val="007C58A5"/>
    <w:rsid w:val="007C7995"/>
    <w:rsid w:val="007D0963"/>
    <w:rsid w:val="007D155D"/>
    <w:rsid w:val="007D25AC"/>
    <w:rsid w:val="007D25E0"/>
    <w:rsid w:val="007D4043"/>
    <w:rsid w:val="007E0650"/>
    <w:rsid w:val="007E13B7"/>
    <w:rsid w:val="007E2BD2"/>
    <w:rsid w:val="007E2F10"/>
    <w:rsid w:val="007E3BCA"/>
    <w:rsid w:val="007E3D29"/>
    <w:rsid w:val="007E4B45"/>
    <w:rsid w:val="007E5205"/>
    <w:rsid w:val="007E6206"/>
    <w:rsid w:val="007E6CAB"/>
    <w:rsid w:val="007E7F4B"/>
    <w:rsid w:val="007F0C56"/>
    <w:rsid w:val="007F1953"/>
    <w:rsid w:val="007F24D9"/>
    <w:rsid w:val="007F25FD"/>
    <w:rsid w:val="007F2619"/>
    <w:rsid w:val="007F27FB"/>
    <w:rsid w:val="007F2BBE"/>
    <w:rsid w:val="007F5ABC"/>
    <w:rsid w:val="007F5DD9"/>
    <w:rsid w:val="007F76E7"/>
    <w:rsid w:val="007F7E5B"/>
    <w:rsid w:val="00801D81"/>
    <w:rsid w:val="00803C1D"/>
    <w:rsid w:val="00805B35"/>
    <w:rsid w:val="0080798C"/>
    <w:rsid w:val="00807DDD"/>
    <w:rsid w:val="00810E56"/>
    <w:rsid w:val="00811579"/>
    <w:rsid w:val="00814783"/>
    <w:rsid w:val="00815F86"/>
    <w:rsid w:val="00821FD9"/>
    <w:rsid w:val="00822DEC"/>
    <w:rsid w:val="00822FF8"/>
    <w:rsid w:val="0082465C"/>
    <w:rsid w:val="008263A5"/>
    <w:rsid w:val="00826F97"/>
    <w:rsid w:val="00826F9A"/>
    <w:rsid w:val="00827310"/>
    <w:rsid w:val="00833D1A"/>
    <w:rsid w:val="00836663"/>
    <w:rsid w:val="008369BB"/>
    <w:rsid w:val="0084362C"/>
    <w:rsid w:val="0084394E"/>
    <w:rsid w:val="00850162"/>
    <w:rsid w:val="008526DF"/>
    <w:rsid w:val="008549A2"/>
    <w:rsid w:val="0085612F"/>
    <w:rsid w:val="008567CF"/>
    <w:rsid w:val="00857AAB"/>
    <w:rsid w:val="00857EEF"/>
    <w:rsid w:val="00860416"/>
    <w:rsid w:val="00863E06"/>
    <w:rsid w:val="00865095"/>
    <w:rsid w:val="00867C9A"/>
    <w:rsid w:val="00867DAB"/>
    <w:rsid w:val="008711D2"/>
    <w:rsid w:val="0087330A"/>
    <w:rsid w:val="008753C8"/>
    <w:rsid w:val="00875B66"/>
    <w:rsid w:val="00875ED5"/>
    <w:rsid w:val="00877F0E"/>
    <w:rsid w:val="00880739"/>
    <w:rsid w:val="0088083E"/>
    <w:rsid w:val="00884F9A"/>
    <w:rsid w:val="008851DA"/>
    <w:rsid w:val="00885983"/>
    <w:rsid w:val="00885BBB"/>
    <w:rsid w:val="00886DC2"/>
    <w:rsid w:val="008873CF"/>
    <w:rsid w:val="008878DC"/>
    <w:rsid w:val="00887F01"/>
    <w:rsid w:val="00892AE0"/>
    <w:rsid w:val="008A00F8"/>
    <w:rsid w:val="008A05FE"/>
    <w:rsid w:val="008A1435"/>
    <w:rsid w:val="008A1480"/>
    <w:rsid w:val="008A2BD9"/>
    <w:rsid w:val="008A3076"/>
    <w:rsid w:val="008A3172"/>
    <w:rsid w:val="008A49A3"/>
    <w:rsid w:val="008A5454"/>
    <w:rsid w:val="008A59B7"/>
    <w:rsid w:val="008A6A42"/>
    <w:rsid w:val="008A7767"/>
    <w:rsid w:val="008B1BF3"/>
    <w:rsid w:val="008B270A"/>
    <w:rsid w:val="008B4A75"/>
    <w:rsid w:val="008B4AD7"/>
    <w:rsid w:val="008B5704"/>
    <w:rsid w:val="008B5FBB"/>
    <w:rsid w:val="008B6A27"/>
    <w:rsid w:val="008B6EF7"/>
    <w:rsid w:val="008B7B4B"/>
    <w:rsid w:val="008C09BE"/>
    <w:rsid w:val="008C0C4E"/>
    <w:rsid w:val="008C0C7A"/>
    <w:rsid w:val="008C56D1"/>
    <w:rsid w:val="008C635D"/>
    <w:rsid w:val="008C6C2E"/>
    <w:rsid w:val="008C77DF"/>
    <w:rsid w:val="008D11E5"/>
    <w:rsid w:val="008D30C9"/>
    <w:rsid w:val="008D5136"/>
    <w:rsid w:val="008D5CAE"/>
    <w:rsid w:val="008D69C6"/>
    <w:rsid w:val="008D772F"/>
    <w:rsid w:val="008D7987"/>
    <w:rsid w:val="008E2B45"/>
    <w:rsid w:val="008E615A"/>
    <w:rsid w:val="008F150A"/>
    <w:rsid w:val="008F1E62"/>
    <w:rsid w:val="008F47F3"/>
    <w:rsid w:val="008F6597"/>
    <w:rsid w:val="008F70F5"/>
    <w:rsid w:val="00900E6A"/>
    <w:rsid w:val="00902BA9"/>
    <w:rsid w:val="00902E85"/>
    <w:rsid w:val="00904AD1"/>
    <w:rsid w:val="00905264"/>
    <w:rsid w:val="00905C4A"/>
    <w:rsid w:val="0090613B"/>
    <w:rsid w:val="00910B71"/>
    <w:rsid w:val="00910E74"/>
    <w:rsid w:val="009110A0"/>
    <w:rsid w:val="009125C5"/>
    <w:rsid w:val="00912A59"/>
    <w:rsid w:val="00913236"/>
    <w:rsid w:val="009145B3"/>
    <w:rsid w:val="00915AAB"/>
    <w:rsid w:val="00917D77"/>
    <w:rsid w:val="00917E27"/>
    <w:rsid w:val="0092341A"/>
    <w:rsid w:val="00923EE7"/>
    <w:rsid w:val="00923F18"/>
    <w:rsid w:val="00924C31"/>
    <w:rsid w:val="009257E5"/>
    <w:rsid w:val="009262BF"/>
    <w:rsid w:val="00926641"/>
    <w:rsid w:val="00926EF2"/>
    <w:rsid w:val="00930099"/>
    <w:rsid w:val="00930398"/>
    <w:rsid w:val="009307B5"/>
    <w:rsid w:val="00933DC3"/>
    <w:rsid w:val="00933E2F"/>
    <w:rsid w:val="00934766"/>
    <w:rsid w:val="00937BBD"/>
    <w:rsid w:val="009419DF"/>
    <w:rsid w:val="00942BD5"/>
    <w:rsid w:val="0094577D"/>
    <w:rsid w:val="00946621"/>
    <w:rsid w:val="009475D9"/>
    <w:rsid w:val="0095207E"/>
    <w:rsid w:val="009542AD"/>
    <w:rsid w:val="00955190"/>
    <w:rsid w:val="00955665"/>
    <w:rsid w:val="00956E60"/>
    <w:rsid w:val="009570EB"/>
    <w:rsid w:val="00962563"/>
    <w:rsid w:val="00966C4D"/>
    <w:rsid w:val="00966E60"/>
    <w:rsid w:val="009673F0"/>
    <w:rsid w:val="009677FD"/>
    <w:rsid w:val="009719FF"/>
    <w:rsid w:val="0097233D"/>
    <w:rsid w:val="00972728"/>
    <w:rsid w:val="00975A6A"/>
    <w:rsid w:val="00976FD4"/>
    <w:rsid w:val="00982A1B"/>
    <w:rsid w:val="00982EF4"/>
    <w:rsid w:val="00984C66"/>
    <w:rsid w:val="00984E0F"/>
    <w:rsid w:val="00985182"/>
    <w:rsid w:val="009852C9"/>
    <w:rsid w:val="0098545C"/>
    <w:rsid w:val="00986F39"/>
    <w:rsid w:val="00990591"/>
    <w:rsid w:val="009913BB"/>
    <w:rsid w:val="00992640"/>
    <w:rsid w:val="00992A2E"/>
    <w:rsid w:val="00993AC9"/>
    <w:rsid w:val="0099420C"/>
    <w:rsid w:val="00994E33"/>
    <w:rsid w:val="00996BCC"/>
    <w:rsid w:val="009972AE"/>
    <w:rsid w:val="00997855"/>
    <w:rsid w:val="00997D69"/>
    <w:rsid w:val="009A0638"/>
    <w:rsid w:val="009A3016"/>
    <w:rsid w:val="009A46E9"/>
    <w:rsid w:val="009A49C4"/>
    <w:rsid w:val="009A50E5"/>
    <w:rsid w:val="009A6105"/>
    <w:rsid w:val="009B0EFA"/>
    <w:rsid w:val="009B1C48"/>
    <w:rsid w:val="009B214F"/>
    <w:rsid w:val="009B27E1"/>
    <w:rsid w:val="009B6F66"/>
    <w:rsid w:val="009C0E2C"/>
    <w:rsid w:val="009C1215"/>
    <w:rsid w:val="009C2EA1"/>
    <w:rsid w:val="009C2F52"/>
    <w:rsid w:val="009C335D"/>
    <w:rsid w:val="009C5C9D"/>
    <w:rsid w:val="009C64C9"/>
    <w:rsid w:val="009C71D2"/>
    <w:rsid w:val="009D370B"/>
    <w:rsid w:val="009D4823"/>
    <w:rsid w:val="009D52EE"/>
    <w:rsid w:val="009D62D6"/>
    <w:rsid w:val="009E2283"/>
    <w:rsid w:val="009E243F"/>
    <w:rsid w:val="009E2F18"/>
    <w:rsid w:val="009E322F"/>
    <w:rsid w:val="009E6318"/>
    <w:rsid w:val="009E6877"/>
    <w:rsid w:val="009E6E8C"/>
    <w:rsid w:val="009F0B65"/>
    <w:rsid w:val="009F2423"/>
    <w:rsid w:val="009F4F9E"/>
    <w:rsid w:val="009F684D"/>
    <w:rsid w:val="009F71D5"/>
    <w:rsid w:val="009F7ED9"/>
    <w:rsid w:val="00A04721"/>
    <w:rsid w:val="00A0538C"/>
    <w:rsid w:val="00A061BE"/>
    <w:rsid w:val="00A066ED"/>
    <w:rsid w:val="00A073E4"/>
    <w:rsid w:val="00A10F88"/>
    <w:rsid w:val="00A11F72"/>
    <w:rsid w:val="00A1271C"/>
    <w:rsid w:val="00A12ED3"/>
    <w:rsid w:val="00A13EE0"/>
    <w:rsid w:val="00A1442B"/>
    <w:rsid w:val="00A149CB"/>
    <w:rsid w:val="00A14D4C"/>
    <w:rsid w:val="00A17D71"/>
    <w:rsid w:val="00A20B19"/>
    <w:rsid w:val="00A20E98"/>
    <w:rsid w:val="00A2475D"/>
    <w:rsid w:val="00A24F65"/>
    <w:rsid w:val="00A25A65"/>
    <w:rsid w:val="00A26A22"/>
    <w:rsid w:val="00A26FB3"/>
    <w:rsid w:val="00A2787D"/>
    <w:rsid w:val="00A3181B"/>
    <w:rsid w:val="00A31CCD"/>
    <w:rsid w:val="00A32DD7"/>
    <w:rsid w:val="00A350B7"/>
    <w:rsid w:val="00A4224A"/>
    <w:rsid w:val="00A44DD0"/>
    <w:rsid w:val="00A463FA"/>
    <w:rsid w:val="00A53CBC"/>
    <w:rsid w:val="00A54B37"/>
    <w:rsid w:val="00A54E44"/>
    <w:rsid w:val="00A55643"/>
    <w:rsid w:val="00A57D21"/>
    <w:rsid w:val="00A61C33"/>
    <w:rsid w:val="00A62E50"/>
    <w:rsid w:val="00A655A6"/>
    <w:rsid w:val="00A65809"/>
    <w:rsid w:val="00A674DC"/>
    <w:rsid w:val="00A67520"/>
    <w:rsid w:val="00A7004E"/>
    <w:rsid w:val="00A70931"/>
    <w:rsid w:val="00A7297A"/>
    <w:rsid w:val="00A72993"/>
    <w:rsid w:val="00A74F66"/>
    <w:rsid w:val="00A76DEF"/>
    <w:rsid w:val="00A80867"/>
    <w:rsid w:val="00A813F1"/>
    <w:rsid w:val="00A81EAE"/>
    <w:rsid w:val="00A83151"/>
    <w:rsid w:val="00A85254"/>
    <w:rsid w:val="00A85564"/>
    <w:rsid w:val="00A86BE4"/>
    <w:rsid w:val="00A87E31"/>
    <w:rsid w:val="00A91CD9"/>
    <w:rsid w:val="00A9466E"/>
    <w:rsid w:val="00A95507"/>
    <w:rsid w:val="00A9739A"/>
    <w:rsid w:val="00A97683"/>
    <w:rsid w:val="00A97808"/>
    <w:rsid w:val="00AA0434"/>
    <w:rsid w:val="00AA13D7"/>
    <w:rsid w:val="00AA1E34"/>
    <w:rsid w:val="00AA43E1"/>
    <w:rsid w:val="00AA4E91"/>
    <w:rsid w:val="00AA5403"/>
    <w:rsid w:val="00AA63E4"/>
    <w:rsid w:val="00AB355B"/>
    <w:rsid w:val="00AB597E"/>
    <w:rsid w:val="00AB6393"/>
    <w:rsid w:val="00AC09F9"/>
    <w:rsid w:val="00AC1037"/>
    <w:rsid w:val="00AC10F5"/>
    <w:rsid w:val="00AC253F"/>
    <w:rsid w:val="00AC5612"/>
    <w:rsid w:val="00AC7430"/>
    <w:rsid w:val="00AD20D0"/>
    <w:rsid w:val="00AD3E4F"/>
    <w:rsid w:val="00AD430A"/>
    <w:rsid w:val="00AD4861"/>
    <w:rsid w:val="00AD4899"/>
    <w:rsid w:val="00AD493E"/>
    <w:rsid w:val="00AD61D5"/>
    <w:rsid w:val="00AD733E"/>
    <w:rsid w:val="00AE0DF8"/>
    <w:rsid w:val="00AE34BA"/>
    <w:rsid w:val="00AE4D8B"/>
    <w:rsid w:val="00AE6F57"/>
    <w:rsid w:val="00AF1725"/>
    <w:rsid w:val="00AF3166"/>
    <w:rsid w:val="00AF4323"/>
    <w:rsid w:val="00AF6397"/>
    <w:rsid w:val="00B00C0A"/>
    <w:rsid w:val="00B0360A"/>
    <w:rsid w:val="00B054D7"/>
    <w:rsid w:val="00B06A72"/>
    <w:rsid w:val="00B10000"/>
    <w:rsid w:val="00B10A38"/>
    <w:rsid w:val="00B10D14"/>
    <w:rsid w:val="00B13844"/>
    <w:rsid w:val="00B14F5E"/>
    <w:rsid w:val="00B1742B"/>
    <w:rsid w:val="00B17ECD"/>
    <w:rsid w:val="00B20548"/>
    <w:rsid w:val="00B2104B"/>
    <w:rsid w:val="00B2298D"/>
    <w:rsid w:val="00B23C21"/>
    <w:rsid w:val="00B23C8F"/>
    <w:rsid w:val="00B245CD"/>
    <w:rsid w:val="00B24742"/>
    <w:rsid w:val="00B26437"/>
    <w:rsid w:val="00B277B5"/>
    <w:rsid w:val="00B27AC7"/>
    <w:rsid w:val="00B27D9E"/>
    <w:rsid w:val="00B323E0"/>
    <w:rsid w:val="00B32667"/>
    <w:rsid w:val="00B326DD"/>
    <w:rsid w:val="00B34DFD"/>
    <w:rsid w:val="00B355B6"/>
    <w:rsid w:val="00B42C1A"/>
    <w:rsid w:val="00B4333B"/>
    <w:rsid w:val="00B43906"/>
    <w:rsid w:val="00B43E58"/>
    <w:rsid w:val="00B46CAE"/>
    <w:rsid w:val="00B471F4"/>
    <w:rsid w:val="00B51854"/>
    <w:rsid w:val="00B532CB"/>
    <w:rsid w:val="00B55535"/>
    <w:rsid w:val="00B56B84"/>
    <w:rsid w:val="00B57E08"/>
    <w:rsid w:val="00B57FFD"/>
    <w:rsid w:val="00B601B1"/>
    <w:rsid w:val="00B6068A"/>
    <w:rsid w:val="00B6221B"/>
    <w:rsid w:val="00B62610"/>
    <w:rsid w:val="00B64736"/>
    <w:rsid w:val="00B64C5F"/>
    <w:rsid w:val="00B66A54"/>
    <w:rsid w:val="00B66ECC"/>
    <w:rsid w:val="00B740BA"/>
    <w:rsid w:val="00B75D20"/>
    <w:rsid w:val="00B77AA1"/>
    <w:rsid w:val="00B82301"/>
    <w:rsid w:val="00B84E93"/>
    <w:rsid w:val="00B86FD6"/>
    <w:rsid w:val="00B92670"/>
    <w:rsid w:val="00B9339D"/>
    <w:rsid w:val="00B9357D"/>
    <w:rsid w:val="00B95032"/>
    <w:rsid w:val="00B96475"/>
    <w:rsid w:val="00B9721F"/>
    <w:rsid w:val="00BA012B"/>
    <w:rsid w:val="00BA1EB6"/>
    <w:rsid w:val="00BA34FD"/>
    <w:rsid w:val="00BA4FAA"/>
    <w:rsid w:val="00BA560B"/>
    <w:rsid w:val="00BB0082"/>
    <w:rsid w:val="00BB1909"/>
    <w:rsid w:val="00BB2ED6"/>
    <w:rsid w:val="00BB53AF"/>
    <w:rsid w:val="00BB6802"/>
    <w:rsid w:val="00BB6E6E"/>
    <w:rsid w:val="00BB7754"/>
    <w:rsid w:val="00BB798C"/>
    <w:rsid w:val="00BC0FC7"/>
    <w:rsid w:val="00BC176D"/>
    <w:rsid w:val="00BC3756"/>
    <w:rsid w:val="00BC51C7"/>
    <w:rsid w:val="00BC620B"/>
    <w:rsid w:val="00BD0879"/>
    <w:rsid w:val="00BD17B3"/>
    <w:rsid w:val="00BD24E7"/>
    <w:rsid w:val="00BD2D77"/>
    <w:rsid w:val="00BD2ECC"/>
    <w:rsid w:val="00BD4AE0"/>
    <w:rsid w:val="00BD52C5"/>
    <w:rsid w:val="00BD78AB"/>
    <w:rsid w:val="00BD7FEB"/>
    <w:rsid w:val="00BE048D"/>
    <w:rsid w:val="00BE26C6"/>
    <w:rsid w:val="00BE2BBB"/>
    <w:rsid w:val="00BE323E"/>
    <w:rsid w:val="00BF030B"/>
    <w:rsid w:val="00BF0838"/>
    <w:rsid w:val="00BF0E01"/>
    <w:rsid w:val="00BF1DC4"/>
    <w:rsid w:val="00BF1E33"/>
    <w:rsid w:val="00BF2688"/>
    <w:rsid w:val="00BF2731"/>
    <w:rsid w:val="00BF2A70"/>
    <w:rsid w:val="00BF2FD3"/>
    <w:rsid w:val="00C00448"/>
    <w:rsid w:val="00C00488"/>
    <w:rsid w:val="00C01160"/>
    <w:rsid w:val="00C04CDA"/>
    <w:rsid w:val="00C07B0A"/>
    <w:rsid w:val="00C11853"/>
    <w:rsid w:val="00C121C4"/>
    <w:rsid w:val="00C12430"/>
    <w:rsid w:val="00C143CB"/>
    <w:rsid w:val="00C14E13"/>
    <w:rsid w:val="00C163AF"/>
    <w:rsid w:val="00C16507"/>
    <w:rsid w:val="00C174C8"/>
    <w:rsid w:val="00C20784"/>
    <w:rsid w:val="00C25C0B"/>
    <w:rsid w:val="00C25D49"/>
    <w:rsid w:val="00C276EE"/>
    <w:rsid w:val="00C33613"/>
    <w:rsid w:val="00C338E2"/>
    <w:rsid w:val="00C33BE3"/>
    <w:rsid w:val="00C3574A"/>
    <w:rsid w:val="00C41E0C"/>
    <w:rsid w:val="00C42189"/>
    <w:rsid w:val="00C42D8D"/>
    <w:rsid w:val="00C43E36"/>
    <w:rsid w:val="00C44A97"/>
    <w:rsid w:val="00C44E6E"/>
    <w:rsid w:val="00C45381"/>
    <w:rsid w:val="00C522F4"/>
    <w:rsid w:val="00C54B85"/>
    <w:rsid w:val="00C56F8E"/>
    <w:rsid w:val="00C57337"/>
    <w:rsid w:val="00C61C52"/>
    <w:rsid w:val="00C622F5"/>
    <w:rsid w:val="00C624D4"/>
    <w:rsid w:val="00C6387B"/>
    <w:rsid w:val="00C64D86"/>
    <w:rsid w:val="00C657ED"/>
    <w:rsid w:val="00C65A11"/>
    <w:rsid w:val="00C672F0"/>
    <w:rsid w:val="00C72369"/>
    <w:rsid w:val="00C73018"/>
    <w:rsid w:val="00C74400"/>
    <w:rsid w:val="00C75332"/>
    <w:rsid w:val="00C77A4C"/>
    <w:rsid w:val="00C81154"/>
    <w:rsid w:val="00C82A09"/>
    <w:rsid w:val="00C84250"/>
    <w:rsid w:val="00C864F9"/>
    <w:rsid w:val="00C90204"/>
    <w:rsid w:val="00C9209A"/>
    <w:rsid w:val="00C95A9D"/>
    <w:rsid w:val="00C960C4"/>
    <w:rsid w:val="00CA0C96"/>
    <w:rsid w:val="00CA27B0"/>
    <w:rsid w:val="00CA6F02"/>
    <w:rsid w:val="00CA7FE2"/>
    <w:rsid w:val="00CB039C"/>
    <w:rsid w:val="00CB0879"/>
    <w:rsid w:val="00CB1ADA"/>
    <w:rsid w:val="00CB2396"/>
    <w:rsid w:val="00CB246D"/>
    <w:rsid w:val="00CB53F2"/>
    <w:rsid w:val="00CB6550"/>
    <w:rsid w:val="00CB6CF0"/>
    <w:rsid w:val="00CC01D4"/>
    <w:rsid w:val="00CC1475"/>
    <w:rsid w:val="00CC49BF"/>
    <w:rsid w:val="00CC4A51"/>
    <w:rsid w:val="00CC5DE0"/>
    <w:rsid w:val="00CC6F69"/>
    <w:rsid w:val="00CC71DC"/>
    <w:rsid w:val="00CD552C"/>
    <w:rsid w:val="00CD56C1"/>
    <w:rsid w:val="00CD5A86"/>
    <w:rsid w:val="00CD7521"/>
    <w:rsid w:val="00CE1A56"/>
    <w:rsid w:val="00CE28F1"/>
    <w:rsid w:val="00CE2DF1"/>
    <w:rsid w:val="00CE5995"/>
    <w:rsid w:val="00CE71C6"/>
    <w:rsid w:val="00CF0695"/>
    <w:rsid w:val="00CF0F56"/>
    <w:rsid w:val="00CF1CB9"/>
    <w:rsid w:val="00CF2AAE"/>
    <w:rsid w:val="00CF59C2"/>
    <w:rsid w:val="00CF6733"/>
    <w:rsid w:val="00CF7128"/>
    <w:rsid w:val="00CF7F46"/>
    <w:rsid w:val="00D02530"/>
    <w:rsid w:val="00D04A7A"/>
    <w:rsid w:val="00D04CF5"/>
    <w:rsid w:val="00D06FA6"/>
    <w:rsid w:val="00D1468B"/>
    <w:rsid w:val="00D14F77"/>
    <w:rsid w:val="00D1753D"/>
    <w:rsid w:val="00D23116"/>
    <w:rsid w:val="00D2377C"/>
    <w:rsid w:val="00D24145"/>
    <w:rsid w:val="00D25AED"/>
    <w:rsid w:val="00D25B54"/>
    <w:rsid w:val="00D30ED2"/>
    <w:rsid w:val="00D36D68"/>
    <w:rsid w:val="00D37EF1"/>
    <w:rsid w:val="00D45080"/>
    <w:rsid w:val="00D458FA"/>
    <w:rsid w:val="00D50C52"/>
    <w:rsid w:val="00D517FA"/>
    <w:rsid w:val="00D51D64"/>
    <w:rsid w:val="00D51F94"/>
    <w:rsid w:val="00D521BB"/>
    <w:rsid w:val="00D53410"/>
    <w:rsid w:val="00D64121"/>
    <w:rsid w:val="00D643AF"/>
    <w:rsid w:val="00D647BB"/>
    <w:rsid w:val="00D65398"/>
    <w:rsid w:val="00D655A3"/>
    <w:rsid w:val="00D67380"/>
    <w:rsid w:val="00D70C2A"/>
    <w:rsid w:val="00D73F44"/>
    <w:rsid w:val="00D760D3"/>
    <w:rsid w:val="00D76908"/>
    <w:rsid w:val="00D77886"/>
    <w:rsid w:val="00D77B87"/>
    <w:rsid w:val="00D77F51"/>
    <w:rsid w:val="00D81506"/>
    <w:rsid w:val="00D83B7B"/>
    <w:rsid w:val="00D8572F"/>
    <w:rsid w:val="00D86C92"/>
    <w:rsid w:val="00D87884"/>
    <w:rsid w:val="00D90F8F"/>
    <w:rsid w:val="00D91845"/>
    <w:rsid w:val="00D9295F"/>
    <w:rsid w:val="00D931CD"/>
    <w:rsid w:val="00D93412"/>
    <w:rsid w:val="00DA0932"/>
    <w:rsid w:val="00DA0966"/>
    <w:rsid w:val="00DA1917"/>
    <w:rsid w:val="00DA24D4"/>
    <w:rsid w:val="00DA36FA"/>
    <w:rsid w:val="00DA48D6"/>
    <w:rsid w:val="00DA5195"/>
    <w:rsid w:val="00DA573E"/>
    <w:rsid w:val="00DA5977"/>
    <w:rsid w:val="00DB0241"/>
    <w:rsid w:val="00DB0B53"/>
    <w:rsid w:val="00DB1BD1"/>
    <w:rsid w:val="00DB201B"/>
    <w:rsid w:val="00DB3D30"/>
    <w:rsid w:val="00DB5F22"/>
    <w:rsid w:val="00DB7C3C"/>
    <w:rsid w:val="00DC193F"/>
    <w:rsid w:val="00DC5EAF"/>
    <w:rsid w:val="00DC7823"/>
    <w:rsid w:val="00DC7F9C"/>
    <w:rsid w:val="00DD0760"/>
    <w:rsid w:val="00DD4C5D"/>
    <w:rsid w:val="00DD57A1"/>
    <w:rsid w:val="00DD6367"/>
    <w:rsid w:val="00DD7D00"/>
    <w:rsid w:val="00DE0B10"/>
    <w:rsid w:val="00DE2020"/>
    <w:rsid w:val="00DE2449"/>
    <w:rsid w:val="00DE64B8"/>
    <w:rsid w:val="00DF286C"/>
    <w:rsid w:val="00DF290D"/>
    <w:rsid w:val="00DF490B"/>
    <w:rsid w:val="00DF6335"/>
    <w:rsid w:val="00DF6D50"/>
    <w:rsid w:val="00DF70FE"/>
    <w:rsid w:val="00DF78F4"/>
    <w:rsid w:val="00E04021"/>
    <w:rsid w:val="00E04380"/>
    <w:rsid w:val="00E044E1"/>
    <w:rsid w:val="00E05206"/>
    <w:rsid w:val="00E056D8"/>
    <w:rsid w:val="00E13148"/>
    <w:rsid w:val="00E14036"/>
    <w:rsid w:val="00E175F8"/>
    <w:rsid w:val="00E20AFE"/>
    <w:rsid w:val="00E20FFF"/>
    <w:rsid w:val="00E21D11"/>
    <w:rsid w:val="00E2478C"/>
    <w:rsid w:val="00E25C33"/>
    <w:rsid w:val="00E25F71"/>
    <w:rsid w:val="00E27133"/>
    <w:rsid w:val="00E271AA"/>
    <w:rsid w:val="00E27C36"/>
    <w:rsid w:val="00E27E52"/>
    <w:rsid w:val="00E27FA6"/>
    <w:rsid w:val="00E343E2"/>
    <w:rsid w:val="00E346C1"/>
    <w:rsid w:val="00E35B88"/>
    <w:rsid w:val="00E3658C"/>
    <w:rsid w:val="00E36F47"/>
    <w:rsid w:val="00E40112"/>
    <w:rsid w:val="00E4060B"/>
    <w:rsid w:val="00E412B4"/>
    <w:rsid w:val="00E422D7"/>
    <w:rsid w:val="00E442FE"/>
    <w:rsid w:val="00E455C0"/>
    <w:rsid w:val="00E468B2"/>
    <w:rsid w:val="00E50E51"/>
    <w:rsid w:val="00E51F69"/>
    <w:rsid w:val="00E526EB"/>
    <w:rsid w:val="00E529A9"/>
    <w:rsid w:val="00E52D40"/>
    <w:rsid w:val="00E5300A"/>
    <w:rsid w:val="00E5755C"/>
    <w:rsid w:val="00E602CE"/>
    <w:rsid w:val="00E60FFC"/>
    <w:rsid w:val="00E62592"/>
    <w:rsid w:val="00E62E7F"/>
    <w:rsid w:val="00E64744"/>
    <w:rsid w:val="00E6569C"/>
    <w:rsid w:val="00E65CFD"/>
    <w:rsid w:val="00E660E4"/>
    <w:rsid w:val="00E6789D"/>
    <w:rsid w:val="00E67A32"/>
    <w:rsid w:val="00E67C71"/>
    <w:rsid w:val="00E70796"/>
    <w:rsid w:val="00E725AD"/>
    <w:rsid w:val="00E72E41"/>
    <w:rsid w:val="00E73978"/>
    <w:rsid w:val="00E73E61"/>
    <w:rsid w:val="00E73E8F"/>
    <w:rsid w:val="00E757C6"/>
    <w:rsid w:val="00E772D6"/>
    <w:rsid w:val="00E80CB2"/>
    <w:rsid w:val="00E81640"/>
    <w:rsid w:val="00E85815"/>
    <w:rsid w:val="00E8641C"/>
    <w:rsid w:val="00E86A81"/>
    <w:rsid w:val="00E8722E"/>
    <w:rsid w:val="00E90459"/>
    <w:rsid w:val="00E93198"/>
    <w:rsid w:val="00E93C20"/>
    <w:rsid w:val="00E96008"/>
    <w:rsid w:val="00E97275"/>
    <w:rsid w:val="00EA1F1C"/>
    <w:rsid w:val="00EA2037"/>
    <w:rsid w:val="00EA2C5A"/>
    <w:rsid w:val="00EA4082"/>
    <w:rsid w:val="00EA59DD"/>
    <w:rsid w:val="00EA6A61"/>
    <w:rsid w:val="00EA778D"/>
    <w:rsid w:val="00EB0820"/>
    <w:rsid w:val="00EB5AAA"/>
    <w:rsid w:val="00EC0E94"/>
    <w:rsid w:val="00EC12A3"/>
    <w:rsid w:val="00EC1BFE"/>
    <w:rsid w:val="00EC2CF4"/>
    <w:rsid w:val="00EC68C1"/>
    <w:rsid w:val="00ED085F"/>
    <w:rsid w:val="00ED0D81"/>
    <w:rsid w:val="00ED0E5E"/>
    <w:rsid w:val="00ED3B1D"/>
    <w:rsid w:val="00ED3CEB"/>
    <w:rsid w:val="00ED4F30"/>
    <w:rsid w:val="00ED536A"/>
    <w:rsid w:val="00ED6402"/>
    <w:rsid w:val="00ED6CD6"/>
    <w:rsid w:val="00ED6F03"/>
    <w:rsid w:val="00ED713F"/>
    <w:rsid w:val="00ED74B4"/>
    <w:rsid w:val="00ED7650"/>
    <w:rsid w:val="00EE00D2"/>
    <w:rsid w:val="00EE35A7"/>
    <w:rsid w:val="00EE7665"/>
    <w:rsid w:val="00EF0E21"/>
    <w:rsid w:val="00EF53CD"/>
    <w:rsid w:val="00EF60B7"/>
    <w:rsid w:val="00F00CE2"/>
    <w:rsid w:val="00F01F7D"/>
    <w:rsid w:val="00F03DB7"/>
    <w:rsid w:val="00F05F3B"/>
    <w:rsid w:val="00F06674"/>
    <w:rsid w:val="00F066BE"/>
    <w:rsid w:val="00F10EEB"/>
    <w:rsid w:val="00F11E1C"/>
    <w:rsid w:val="00F161F5"/>
    <w:rsid w:val="00F16A87"/>
    <w:rsid w:val="00F20060"/>
    <w:rsid w:val="00F213F6"/>
    <w:rsid w:val="00F23184"/>
    <w:rsid w:val="00F2353F"/>
    <w:rsid w:val="00F249EB"/>
    <w:rsid w:val="00F24CAB"/>
    <w:rsid w:val="00F33C65"/>
    <w:rsid w:val="00F34D12"/>
    <w:rsid w:val="00F34E7A"/>
    <w:rsid w:val="00F352EE"/>
    <w:rsid w:val="00F40663"/>
    <w:rsid w:val="00F4478A"/>
    <w:rsid w:val="00F44900"/>
    <w:rsid w:val="00F53086"/>
    <w:rsid w:val="00F53893"/>
    <w:rsid w:val="00F53AD3"/>
    <w:rsid w:val="00F54811"/>
    <w:rsid w:val="00F54832"/>
    <w:rsid w:val="00F5485A"/>
    <w:rsid w:val="00F553E7"/>
    <w:rsid w:val="00F560F9"/>
    <w:rsid w:val="00F56D88"/>
    <w:rsid w:val="00F578C9"/>
    <w:rsid w:val="00F62482"/>
    <w:rsid w:val="00F637DC"/>
    <w:rsid w:val="00F64FA0"/>
    <w:rsid w:val="00F666C8"/>
    <w:rsid w:val="00F666E5"/>
    <w:rsid w:val="00F716AF"/>
    <w:rsid w:val="00F72274"/>
    <w:rsid w:val="00F72A6E"/>
    <w:rsid w:val="00F7702F"/>
    <w:rsid w:val="00F810A6"/>
    <w:rsid w:val="00F84468"/>
    <w:rsid w:val="00F85B4D"/>
    <w:rsid w:val="00F85C3F"/>
    <w:rsid w:val="00F86247"/>
    <w:rsid w:val="00F90384"/>
    <w:rsid w:val="00F94118"/>
    <w:rsid w:val="00FA0709"/>
    <w:rsid w:val="00FA0F86"/>
    <w:rsid w:val="00FA345E"/>
    <w:rsid w:val="00FA37F7"/>
    <w:rsid w:val="00FA5E4E"/>
    <w:rsid w:val="00FB0545"/>
    <w:rsid w:val="00FB2D23"/>
    <w:rsid w:val="00FB39F5"/>
    <w:rsid w:val="00FB4759"/>
    <w:rsid w:val="00FB4C36"/>
    <w:rsid w:val="00FB68DC"/>
    <w:rsid w:val="00FB7249"/>
    <w:rsid w:val="00FC2D4D"/>
    <w:rsid w:val="00FC3B72"/>
    <w:rsid w:val="00FC6BB1"/>
    <w:rsid w:val="00FC73F0"/>
    <w:rsid w:val="00FC7D42"/>
    <w:rsid w:val="00FD0D54"/>
    <w:rsid w:val="00FD4003"/>
    <w:rsid w:val="00FD6BF5"/>
    <w:rsid w:val="00FE2489"/>
    <w:rsid w:val="00FE5693"/>
    <w:rsid w:val="00FF060C"/>
    <w:rsid w:val="00FF0DAD"/>
    <w:rsid w:val="00FF14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6E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65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1853B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26E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65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1853B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45562130177514E-2"/>
          <c:y val="4.1666666666666664E-2"/>
          <c:w val="0.8130177514792899"/>
          <c:h val="0.7769607843137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778.2</c:v>
                </c:pt>
                <c:pt idx="1">
                  <c:v>220.3</c:v>
                </c:pt>
                <c:pt idx="2">
                  <c:v>2437.1999999999998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0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поступления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804.4</c:v>
                </c:pt>
                <c:pt idx="1">
                  <c:v>161.69999999999999</c:v>
                </c:pt>
                <c:pt idx="2">
                  <c:v>2799.2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211904"/>
        <c:axId val="92865664"/>
        <c:axId val="0"/>
      </c:bar3DChart>
      <c:catAx>
        <c:axId val="13721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6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865664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11904"/>
        <c:crosses val="autoZero"/>
        <c:crossBetween val="between"/>
      </c:valAx>
      <c:spPr>
        <a:noFill/>
        <a:ln w="25245">
          <a:noFill/>
        </a:ln>
      </c:spPr>
    </c:plotArea>
    <c:legend>
      <c:legendPos val="r"/>
      <c:layout>
        <c:manualLayout>
          <c:xMode val="edge"/>
          <c:yMode val="edge"/>
          <c:x val="0.89585798816568052"/>
          <c:y val="0.41421568627450983"/>
          <c:w val="9.9408284023668636E-2"/>
          <c:h val="0.1740196078431372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5116851168512"/>
          <c:y val="8.4507042253521125E-2"/>
          <c:w val="0.6961869618696187"/>
          <c:h val="0.7521126760563381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0.23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0.06</c:v>
                </c:pt>
                <c:pt idx="1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</c:v>
                </c:pt>
              </c:strCache>
            </c:strRef>
          </c:tx>
          <c:spPr>
            <a:solidFill>
              <a:srgbClr val="FFFFCC"/>
            </a:solidFill>
            <a:ln w="25262">
              <a:noFill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Sheet1!$B$4:$E$4</c:f>
              <c:numCache>
                <c:formatCode>0%</c:formatCode>
                <c:ptCount val="4"/>
                <c:pt idx="0">
                  <c:v>0.71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92892544"/>
        <c:axId val="92898432"/>
      </c:barChart>
      <c:catAx>
        <c:axId val="928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9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898432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892544"/>
        <c:crosses val="autoZero"/>
        <c:crossBetween val="between"/>
      </c:valAx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59778597785978"/>
          <c:y val="0.3295774647887324"/>
          <c:w val="0.2164821648216482"/>
          <c:h val="0.2478873239436619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Акцизы</c:v>
                </c:pt>
                <c:pt idx="7">
                  <c:v>Налог на добычу полезных ископаемых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0.71</c:v>
                </c:pt>
                <c:pt idx="1">
                  <c:v>7.5999999999999998E-2</c:v>
                </c:pt>
                <c:pt idx="2">
                  <c:v>0.13600000000000001</c:v>
                </c:pt>
                <c:pt idx="3">
                  <c:v>4.0000000000000002E-4</c:v>
                </c:pt>
                <c:pt idx="4">
                  <c:v>1E-3</c:v>
                </c:pt>
                <c:pt idx="5">
                  <c:v>2.4E-2</c:v>
                </c:pt>
                <c:pt idx="6">
                  <c:v>0.05</c:v>
                </c:pt>
                <c:pt idx="7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77011835784687"/>
          <c:y val="1.4635848308895742E-2"/>
          <c:w val="0.40505191568035126"/>
          <c:h val="0.985364151691104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08571842572376E-2"/>
          <c:y val="6.9056848663147874E-2"/>
          <c:w val="0.87619119123816314"/>
          <c:h val="0.781577975829944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554.20000000000005</c:v>
                </c:pt>
                <c:pt idx="1">
                  <c:v>56.1</c:v>
                </c:pt>
                <c:pt idx="2">
                  <c:v>114.6</c:v>
                </c:pt>
                <c:pt idx="3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txPr>
              <a:bodyPr/>
              <a:lstStyle/>
              <a:p>
                <a:pPr>
                  <a:defRPr sz="10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569.29999999999995</c:v>
                </c:pt>
                <c:pt idx="1">
                  <c:v>61.8</c:v>
                </c:pt>
                <c:pt idx="2">
                  <c:v>109.3</c:v>
                </c:pt>
                <c:pt idx="3">
                  <c:v>19.8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94406144"/>
        <c:axId val="94407680"/>
      </c:barChart>
      <c:catAx>
        <c:axId val="944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40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407680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406144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0.34</c:v>
                </c:pt>
                <c:pt idx="1">
                  <c:v>0.157</c:v>
                </c:pt>
                <c:pt idx="2">
                  <c:v>0.223</c:v>
                </c:pt>
                <c:pt idx="3">
                  <c:v>4.9000000000000002E-2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ЖКХ</c:v>
                </c:pt>
                <c:pt idx="1">
                  <c:v>Межбюджетные трансфетры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и средства массовой информации</c:v>
                </c:pt>
                <c:pt idx="5">
                  <c:v>Охрана окружающей среды</c:v>
                </c:pt>
                <c:pt idx="6">
                  <c:v>Социальная политика</c:v>
                </c:pt>
                <c:pt idx="7">
                  <c:v>Национальная оборона, национальная безопасность и правоохранительная деятельность</c:v>
                </c:pt>
                <c:pt idx="8">
                  <c:v>Здравоохранение, физическая культура и спорт</c:v>
                </c:pt>
                <c:pt idx="9">
                  <c:v>Образование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5.8000000000000003E-2</c:v>
                </c:pt>
                <c:pt idx="1">
                  <c:v>1.2999999999999999E-2</c:v>
                </c:pt>
                <c:pt idx="2">
                  <c:v>9.8000000000000004E-2</c:v>
                </c:pt>
                <c:pt idx="3">
                  <c:v>4.7E-2</c:v>
                </c:pt>
                <c:pt idx="4">
                  <c:v>4.2999999999999997E-2</c:v>
                </c:pt>
                <c:pt idx="5">
                  <c:v>1E-3</c:v>
                </c:pt>
                <c:pt idx="6">
                  <c:v>2.1000000000000001E-2</c:v>
                </c:pt>
                <c:pt idx="7">
                  <c:v>5.0000000000000001E-3</c:v>
                </c:pt>
                <c:pt idx="8">
                  <c:v>1E-3</c:v>
                </c:pt>
                <c:pt idx="9">
                  <c:v>0.71099999999999997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81416574709"/>
          <c:y val="5.8001727538295002E-2"/>
          <c:w val="0.32030161906721277"/>
          <c:h val="0.85991258507940749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694233656101329"/>
          <c:y val="4.3443917851500792E-2"/>
          <c:w val="0.45729988860219556"/>
          <c:h val="0.857615902277618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1.01.2016г.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Кредиторская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Услуги по содержанию имущества, транспортные и прочие услуги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#,##0.00">
                  <c:v>18069.8</c:v>
                </c:pt>
                <c:pt idx="1">
                  <c:v>14833.3</c:v>
                </c:pt>
                <c:pt idx="2">
                  <c:v>217.6</c:v>
                </c:pt>
                <c:pt idx="3">
                  <c:v>615</c:v>
                </c:pt>
                <c:pt idx="4">
                  <c:v>1446.6</c:v>
                </c:pt>
                <c:pt idx="5">
                  <c:v>753.9</c:v>
                </c:pt>
                <c:pt idx="6">
                  <c:v>109.8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1.01.2017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5"/>
              <c:layout>
                <c:manualLayout>
                  <c:x val="2.4242424242424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Кредиторская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Услуги по содержанию имущества, транспортные и прочие услуги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31625.7</c:v>
                </c:pt>
                <c:pt idx="1">
                  <c:v>25286.9</c:v>
                </c:pt>
                <c:pt idx="2">
                  <c:v>1399.3</c:v>
                </c:pt>
                <c:pt idx="3">
                  <c:v>2292.4</c:v>
                </c:pt>
                <c:pt idx="4">
                  <c:v>2374.9</c:v>
                </c:pt>
                <c:pt idx="5">
                  <c:v>37.299999999999997</c:v>
                </c:pt>
                <c:pt idx="6">
                  <c:v>197.8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Кредиторская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Услуги по содержанию имущества, транспортные и прочие услуги</c:v>
                </c:pt>
                <c:pt idx="4">
                  <c:v>Увеличение стоимости основных средств</c:v>
                </c:pt>
                <c:pt idx="5">
                  <c:v>Увеличение стоимости материальных запасов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88448"/>
        <c:axId val="94489984"/>
      </c:barChart>
      <c:catAx>
        <c:axId val="94488448"/>
        <c:scaling>
          <c:orientation val="minMax"/>
        </c:scaling>
        <c:delete val="0"/>
        <c:axPos val="l"/>
        <c:majorTickMark val="out"/>
        <c:minorTickMark val="none"/>
        <c:tickLblPos val="nextTo"/>
        <c:crossAx val="94489984"/>
        <c:crosses val="autoZero"/>
        <c:auto val="1"/>
        <c:lblAlgn val="ctr"/>
        <c:lblOffset val="100"/>
        <c:noMultiLvlLbl val="0"/>
      </c:catAx>
      <c:valAx>
        <c:axId val="94489984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crossAx val="9448844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17329106263151"/>
          <c:y val="8.5679277236874948E-2"/>
          <c:w val="0.47436209810691227"/>
          <c:h val="0.831355667297234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Прочие услуги и услуги по содержанию имущества</c:v>
                </c:pt>
                <c:pt idx="4">
                  <c:v>Увеличение стоимости материальных запасов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32780.5</c:v>
                </c:pt>
                <c:pt idx="1">
                  <c:v>32197.3</c:v>
                </c:pt>
                <c:pt idx="2">
                  <c:v>392.4</c:v>
                </c:pt>
                <c:pt idx="3">
                  <c:v>1264.4000000000001</c:v>
                </c:pt>
                <c:pt idx="4">
                  <c:v>226.7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1.01.2017г.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Прочие услуги и услуги по содержанию имущества</c:v>
                </c:pt>
                <c:pt idx="4">
                  <c:v>Увеличение стоимости материальных запасов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5735.6</c:v>
                </c:pt>
                <c:pt idx="1">
                  <c:v>5660.8</c:v>
                </c:pt>
                <c:pt idx="2">
                  <c:v>209.8</c:v>
                </c:pt>
                <c:pt idx="3">
                  <c:v>34.1</c:v>
                </c:pt>
                <c:pt idx="4">
                  <c:v>75.099999999999994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Дебиторская задолженность всего</c:v>
                </c:pt>
                <c:pt idx="1">
                  <c:v>Безвозмездные перечисления муниципальным организациям</c:v>
                </c:pt>
                <c:pt idx="2">
                  <c:v>Коммунальные услуги, услуги связи</c:v>
                </c:pt>
                <c:pt idx="3">
                  <c:v>Прочие услуги и услуги по содержанию имущества</c:v>
                </c:pt>
                <c:pt idx="4">
                  <c:v>Увеличение стоимости материальных запасов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87680"/>
        <c:axId val="112889216"/>
      </c:barChart>
      <c:catAx>
        <c:axId val="112887680"/>
        <c:scaling>
          <c:orientation val="minMax"/>
        </c:scaling>
        <c:delete val="0"/>
        <c:axPos val="l"/>
        <c:majorTickMark val="out"/>
        <c:minorTickMark val="none"/>
        <c:tickLblPos val="nextTo"/>
        <c:crossAx val="112889216"/>
        <c:crosses val="autoZero"/>
        <c:auto val="1"/>
        <c:lblAlgn val="ctr"/>
        <c:lblOffset val="100"/>
        <c:noMultiLvlLbl val="0"/>
      </c:catAx>
      <c:valAx>
        <c:axId val="112889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88768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59D01-8D95-487A-9A57-99AFD898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31</Pages>
  <Words>9401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62868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57</cp:revision>
  <cp:lastPrinted>2017-04-21T08:49:00Z</cp:lastPrinted>
  <dcterms:created xsi:type="dcterms:W3CDTF">2017-04-12T07:22:00Z</dcterms:created>
  <dcterms:modified xsi:type="dcterms:W3CDTF">2017-04-21T10:18:00Z</dcterms:modified>
</cp:coreProperties>
</file>